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B0629" w14:textId="598569F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FE7048">
        <w:rPr>
          <w:b/>
          <w:noProof/>
          <w:sz w:val="24"/>
        </w:rPr>
        <w:t>4</w:t>
      </w:r>
      <w:r w:rsidR="00FA5152">
        <w:rPr>
          <w:b/>
          <w:noProof/>
          <w:sz w:val="24"/>
        </w:rPr>
        <w:t>-e</w:t>
      </w:r>
      <w:r w:rsidR="0001038D">
        <w:rPr>
          <w:b/>
          <w:noProof/>
          <w:sz w:val="24"/>
        </w:rPr>
        <w:t>-Bis</w:t>
      </w:r>
      <w:r w:rsidR="00DC5180" w:rsidRPr="0033027D">
        <w:rPr>
          <w:b/>
          <w:noProof/>
          <w:sz w:val="24"/>
        </w:rPr>
        <w:tab/>
      </w:r>
      <w:r w:rsidR="00FA5152" w:rsidRPr="00FA5152">
        <w:rPr>
          <w:b/>
          <w:noProof/>
          <w:sz w:val="24"/>
        </w:rPr>
        <w:t>R4-20</w:t>
      </w:r>
      <w:r w:rsidR="00306728">
        <w:rPr>
          <w:b/>
          <w:noProof/>
          <w:sz w:val="24"/>
        </w:rPr>
        <w:t>0</w:t>
      </w:r>
      <w:r w:rsidR="00176D7C">
        <w:rPr>
          <w:b/>
          <w:noProof/>
          <w:sz w:val="24"/>
        </w:rPr>
        <w:t>4993</w:t>
      </w:r>
      <w:bookmarkStart w:id="1" w:name="_GoBack"/>
      <w:bookmarkEnd w:id="1"/>
    </w:p>
    <w:p w14:paraId="63C63B34" w14:textId="7EB321D6" w:rsidR="001512D7" w:rsidRPr="0010618D" w:rsidRDefault="0001038D" w:rsidP="00DC5180">
      <w:pPr>
        <w:spacing w:after="60"/>
        <w:ind w:left="1985" w:hanging="1985"/>
        <w:rPr>
          <w:rFonts w:ascii="Arial" w:hAnsi="Arial" w:cs="Arial"/>
          <w:bCs/>
        </w:rPr>
      </w:pPr>
      <w:r>
        <w:rPr>
          <w:rFonts w:ascii="Arial" w:hAnsi="Arial" w:cs="Arial"/>
          <w:b/>
          <w:sz w:val="24"/>
        </w:rPr>
        <w:t>Electronic Meeting</w:t>
      </w:r>
      <w:r w:rsidR="00766B19" w:rsidRPr="00766B19">
        <w:rPr>
          <w:rFonts w:ascii="Arial" w:hAnsi="Arial" w:cs="Arial"/>
          <w:b/>
          <w:sz w:val="24"/>
        </w:rPr>
        <w:t xml:space="preserve">, </w:t>
      </w:r>
      <w:r w:rsidRPr="0001038D">
        <w:rPr>
          <w:rFonts w:ascii="Arial" w:hAnsi="Arial" w:cs="Arial"/>
          <w:b/>
          <w:sz w:val="24"/>
        </w:rPr>
        <w:t>20 – 30 Apr., 2020</w:t>
      </w:r>
      <w:r w:rsidR="00766B19">
        <w:rPr>
          <w:rFonts w:ascii="Arial" w:hAnsi="Arial" w:cs="Arial"/>
          <w:b/>
          <w:sz w:val="24"/>
        </w:rPr>
        <w:br/>
      </w:r>
    </w:p>
    <w:p w14:paraId="46DA2A95" w14:textId="5630705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1038D">
        <w:rPr>
          <w:rFonts w:ascii="Arial" w:hAnsi="Arial" w:cs="Arial"/>
          <w:b/>
        </w:rPr>
        <w:t>Discussion on FR2 int</w:t>
      </w:r>
      <w:r w:rsidR="002B5DC6">
        <w:rPr>
          <w:rFonts w:ascii="Arial" w:hAnsi="Arial" w:cs="Arial"/>
          <w:b/>
        </w:rPr>
        <w:t>ra</w:t>
      </w:r>
      <w:r w:rsidR="0001038D">
        <w:rPr>
          <w:rFonts w:ascii="Arial" w:hAnsi="Arial" w:cs="Arial"/>
          <w:b/>
        </w:rPr>
        <w:t xml:space="preserve">-band </w:t>
      </w:r>
      <w:r w:rsidR="00C63314">
        <w:rPr>
          <w:rFonts w:ascii="Arial" w:hAnsi="Arial" w:cs="Arial"/>
          <w:b/>
        </w:rPr>
        <w:t xml:space="preserve">DL </w:t>
      </w:r>
      <w:r w:rsidR="0001038D">
        <w:rPr>
          <w:rFonts w:ascii="Arial" w:hAnsi="Arial" w:cs="Arial"/>
          <w:b/>
        </w:rPr>
        <w:t>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6731C5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63314">
        <w:rPr>
          <w:rFonts w:ascii="Arial" w:hAnsi="Arial" w:cs="Arial"/>
          <w:b/>
        </w:rPr>
        <w:t>6.14.1.3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16FC3A89" w:rsidR="002A1C01" w:rsidRPr="00916F8E" w:rsidRDefault="005160BC" w:rsidP="008F13B3">
      <w:r>
        <w:t xml:space="preserve">In the RAN#87e </w:t>
      </w:r>
      <w:r w:rsidR="004213EB">
        <w:t xml:space="preserve">plenary meeting, FR2 intra-band contiguous DL CA is removed from </w:t>
      </w:r>
      <w:r w:rsidR="00EA77F9">
        <w:t xml:space="preserve">R16 FR2 UE RF </w:t>
      </w:r>
      <w:r w:rsidR="004213EB">
        <w:t>WID, so only non-contiguous scenario needs further discussion for intra-band DL CA</w:t>
      </w:r>
      <w:r>
        <w:t xml:space="preserve">. </w:t>
      </w:r>
      <w:r w:rsidR="00EA77F9">
        <w:t xml:space="preserve">In RAN4#93 meeting, good progress is achieved by introducing DL-only spectrum, and then the work for intra-band NC DL CA is stuck to the DL-only spectrum type UE supported. </w:t>
      </w:r>
      <w:r w:rsidR="00531BE1">
        <w:t xml:space="preserve">In this paper we analyse the DL-only spectrum type issue and propose our view on it and </w:t>
      </w:r>
      <w:r w:rsidR="003C4D4C">
        <w:t xml:space="preserve">on </w:t>
      </w:r>
      <w:r w:rsidR="00531BE1">
        <w:t xml:space="preserve">breaks in frequency for EIS relaxation </w:t>
      </w:r>
      <w:r w:rsidR="003C4D4C">
        <w:t xml:space="preserve">table </w:t>
      </w:r>
      <w:r w:rsidR="00531BE1">
        <w:t>as well.</w:t>
      </w:r>
    </w:p>
    <w:p w14:paraId="65A85401" w14:textId="697A8A6E" w:rsidR="00962566" w:rsidRDefault="000A567D" w:rsidP="00E33B8C">
      <w:pPr>
        <w:pStyle w:val="Heading1"/>
      </w:pPr>
      <w:r>
        <w:t xml:space="preserve">2. </w:t>
      </w:r>
      <w:r>
        <w:tab/>
      </w:r>
      <w:r w:rsidR="002A1C01">
        <w:t>Discussion</w:t>
      </w:r>
    </w:p>
    <w:p w14:paraId="18B9A6AF" w14:textId="4BB29921" w:rsidR="007C4CA8" w:rsidRPr="007C4CA8" w:rsidRDefault="00D22E26" w:rsidP="00D22E26">
      <w:pPr>
        <w:pStyle w:val="Heading2"/>
      </w:pPr>
      <w:r>
        <w:t>2.1</w:t>
      </w:r>
      <w:r>
        <w:tab/>
      </w:r>
      <w:r w:rsidR="00A047B4">
        <w:rPr>
          <w:rFonts w:hint="eastAsia"/>
          <w:lang w:eastAsia="zh-CN"/>
        </w:rPr>
        <w:t>DL</w:t>
      </w:r>
      <w:r w:rsidR="00A047B4">
        <w:rPr>
          <w:lang w:eastAsia="zh-CN"/>
        </w:rPr>
        <w:t>-only spectrum type</w:t>
      </w:r>
    </w:p>
    <w:p w14:paraId="15F71D05" w14:textId="1CC93537" w:rsidR="00092B0C" w:rsidRDefault="001636F4" w:rsidP="00092B0C">
      <w:r>
        <w:t xml:space="preserve">It was agreed in the WF [1] in RAN4#93 that </w:t>
      </w:r>
      <w:r w:rsidR="005878F8">
        <w:t>the DL-only spectrum type will be one of two options: either one-sided extension or two-sided extension relative to bidirectional spectrum:</w:t>
      </w:r>
    </w:p>
    <w:p w14:paraId="66DCF363" w14:textId="6404DD0E" w:rsidR="00D22E26" w:rsidRDefault="008061DB" w:rsidP="00092B0C">
      <w:r>
        <w:pict w14:anchorId="1A39BADA">
          <v:shapetype id="_x0000_t202" coordsize="21600,21600" o:spt="202" path="m,l,21600r21600,l21600,xe">
            <v:stroke joinstyle="miter"/>
            <v:path gradientshapeok="t" o:connecttype="rect"/>
          </v:shapetype>
          <v:shape id="_x0000_s1026" type="#_x0000_t202" style="width:520.15pt;height:79.0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shadow opacity=".5" offset="6pt,6pt"/>
            <v:textbox style="mso-next-textbox:#_x0000_s1026">
              <w:txbxContent>
                <w:p w14:paraId="2DE1B1EE" w14:textId="77777777" w:rsidR="005878F8" w:rsidRPr="005878F8" w:rsidRDefault="005878F8" w:rsidP="005878F8">
                  <w:pPr>
                    <w:pStyle w:val="ListParagraph"/>
                    <w:numPr>
                      <w:ilvl w:val="0"/>
                      <w:numId w:val="27"/>
                    </w:numPr>
                    <w:spacing w:line="216" w:lineRule="auto"/>
                    <w:ind w:firstLineChars="0"/>
                    <w:rPr>
                      <w:sz w:val="22"/>
                    </w:rPr>
                  </w:pPr>
                  <w:r w:rsidRPr="005878F8">
                    <w:rPr>
                      <w:rFonts w:ascii="Calibri" w:eastAsia="DengXian" w:hAnsi="Calibri" w:cs="Times New Roman"/>
                      <w:color w:val="000000"/>
                      <w:kern w:val="24"/>
                      <w:sz w:val="22"/>
                      <w:szCs w:val="40"/>
                    </w:rPr>
                    <w:t>The spectrum covered by the DL-only frequency separation shall be located relative to bidirectional spectrum(*) in one of two configurations:</w:t>
                  </w:r>
                </w:p>
                <w:p w14:paraId="4673BC9F" w14:textId="77777777" w:rsidR="005878F8" w:rsidRPr="005878F8" w:rsidRDefault="005878F8" w:rsidP="005878F8">
                  <w:pPr>
                    <w:pStyle w:val="ListParagraph"/>
                    <w:numPr>
                      <w:ilvl w:val="1"/>
                      <w:numId w:val="27"/>
                    </w:numPr>
                    <w:spacing w:line="216" w:lineRule="auto"/>
                    <w:ind w:firstLineChars="0"/>
                    <w:rPr>
                      <w:sz w:val="21"/>
                    </w:rPr>
                  </w:pPr>
                  <w:r w:rsidRPr="005878F8">
                    <w:rPr>
                      <w:rFonts w:ascii="Calibri" w:eastAsia="DengXian" w:hAnsi="Calibri" w:cs="Times New Roman"/>
                      <w:color w:val="000000"/>
                      <w:kern w:val="24"/>
                      <w:sz w:val="21"/>
                      <w:szCs w:val="34"/>
                    </w:rPr>
                    <w:t>Extends on one side</w:t>
                  </w:r>
                </w:p>
                <w:p w14:paraId="6117EC56" w14:textId="77777777" w:rsidR="005878F8" w:rsidRPr="005878F8" w:rsidRDefault="005878F8" w:rsidP="005878F8">
                  <w:pPr>
                    <w:pStyle w:val="ListParagraph"/>
                    <w:numPr>
                      <w:ilvl w:val="1"/>
                      <w:numId w:val="27"/>
                    </w:numPr>
                    <w:spacing w:line="216" w:lineRule="auto"/>
                    <w:ind w:firstLineChars="0"/>
                    <w:rPr>
                      <w:sz w:val="21"/>
                    </w:rPr>
                  </w:pPr>
                  <w:r w:rsidRPr="005878F8">
                    <w:rPr>
                      <w:rFonts w:ascii="Calibri" w:eastAsia="DengXian" w:hAnsi="Calibri" w:cs="Times New Roman"/>
                      <w:color w:val="000000"/>
                      <w:kern w:val="24"/>
                      <w:sz w:val="21"/>
                      <w:szCs w:val="34"/>
                    </w:rPr>
                    <w:t>Extends equally on both sides, half on each side</w:t>
                  </w:r>
                </w:p>
                <w:p w14:paraId="6DD29181" w14:textId="77777777" w:rsidR="005878F8" w:rsidRPr="005878F8" w:rsidRDefault="005878F8" w:rsidP="005878F8">
                  <w:pPr>
                    <w:pStyle w:val="ListParagraph"/>
                    <w:numPr>
                      <w:ilvl w:val="2"/>
                      <w:numId w:val="27"/>
                    </w:numPr>
                    <w:spacing w:line="216" w:lineRule="auto"/>
                    <w:ind w:firstLineChars="0"/>
                    <w:rPr>
                      <w:sz w:val="18"/>
                    </w:rPr>
                  </w:pPr>
                  <w:r w:rsidRPr="005878F8">
                    <w:rPr>
                      <w:rFonts w:ascii="Calibri" w:eastAsia="DengXian" w:hAnsi="Calibri" w:cs="Times New Roman"/>
                      <w:color w:val="000000"/>
                      <w:kern w:val="24"/>
                      <w:sz w:val="18"/>
                      <w:szCs w:val="28"/>
                    </w:rPr>
                    <w:t>FFS if both-sided DL-only spectrum can be dropped for rel-16.</w:t>
                  </w:r>
                </w:p>
                <w:p w14:paraId="42250224" w14:textId="77777777" w:rsidR="005878F8" w:rsidRPr="005878F8" w:rsidRDefault="005878F8" w:rsidP="005878F8">
                  <w:pPr>
                    <w:pStyle w:val="ListParagraph"/>
                    <w:numPr>
                      <w:ilvl w:val="2"/>
                      <w:numId w:val="27"/>
                    </w:numPr>
                    <w:spacing w:line="216" w:lineRule="auto"/>
                    <w:ind w:firstLineChars="0"/>
                    <w:rPr>
                      <w:sz w:val="18"/>
                    </w:rPr>
                  </w:pPr>
                  <w:r w:rsidRPr="005878F8">
                    <w:rPr>
                      <w:rFonts w:ascii="Calibri" w:eastAsia="DengXian" w:hAnsi="Calibri" w:cs="Times New Roman"/>
                      <w:color w:val="000000"/>
                      <w:kern w:val="24"/>
                      <w:sz w:val="18"/>
                      <w:szCs w:val="28"/>
                    </w:rPr>
                    <w:t>Single bit can be used to indicate configuration if both possibilities retained</w:t>
                  </w:r>
                </w:p>
              </w:txbxContent>
            </v:textbox>
            <w10:anchorlock/>
          </v:shape>
        </w:pict>
      </w:r>
      <w:r w:rsidR="00D22E26">
        <w:t xml:space="preserve"> </w:t>
      </w:r>
    </w:p>
    <w:p w14:paraId="0AF322B6" w14:textId="33CB87F8" w:rsidR="009B2CCD" w:rsidRDefault="005878F8" w:rsidP="00A45C69">
      <w:r>
        <w:t>Previous papers [2][3][4] has analysed the drawbacks of two-sided extension</w:t>
      </w:r>
      <w:r w:rsidR="00FD022D">
        <w:t>.</w:t>
      </w:r>
      <w:r w:rsidR="00B34FB4">
        <w:t xml:space="preserve"> </w:t>
      </w:r>
      <w:r w:rsidR="00B34FB4">
        <w:rPr>
          <w:lang w:eastAsia="zh-CN"/>
        </w:rPr>
        <w:t>If UE only supports two-sided extension, the UL spectrum allocation will be limited in the center of the whole frequency separation and side spectrum will always be unavailable for uplink</w:t>
      </w:r>
      <w:r w:rsidR="0087501E">
        <w:rPr>
          <w:lang w:eastAsia="zh-CN"/>
        </w:rPr>
        <w:t xml:space="preserve"> when maximum cumulative aggregated BW is configured</w:t>
      </w:r>
      <w:r w:rsidR="00DE018B">
        <w:rPr>
          <w:lang w:eastAsia="zh-CN"/>
        </w:rPr>
        <w:t>; Complicated network management and more network resource is expected for two-sided extension; the usage scenario is quite few, etc. It can be concluded that two-sided extension is not feasible unless the UE supports both one-sided extension and two-sided extension</w:t>
      </w:r>
      <w:r w:rsidR="002A7740">
        <w:rPr>
          <w:lang w:eastAsia="zh-CN"/>
        </w:rPr>
        <w:t>.</w:t>
      </w:r>
    </w:p>
    <w:p w14:paraId="78DACF49" w14:textId="0FABB900" w:rsidR="007256B4" w:rsidRDefault="002A7740" w:rsidP="00A45C69">
      <w:r>
        <w:t xml:space="preserve">In RAN4#94e meeting, </w:t>
      </w:r>
      <w:r w:rsidR="005E0C58">
        <w:t>some company proposed</w:t>
      </w:r>
      <w:r>
        <w:t xml:space="preserve"> </w:t>
      </w:r>
      <w:r w:rsidR="00BF2F7E">
        <w:t xml:space="preserve">the </w:t>
      </w:r>
      <w:r>
        <w:t>new option that UE supports both extension types (both one-sided and two-sided)</w:t>
      </w:r>
      <w:r w:rsidR="008A54A4">
        <w:t>.</w:t>
      </w:r>
      <w:r>
        <w:t xml:space="preserve"> However, the new option is not included in option list in the agreed WF [1]. Moreover, new signalling will be need</w:t>
      </w:r>
      <w:r w:rsidR="0058581A">
        <w:rPr>
          <w:rFonts w:hint="eastAsia"/>
          <w:lang w:eastAsia="zh-CN"/>
        </w:rPr>
        <w:t>ed</w:t>
      </w:r>
      <w:r>
        <w:t xml:space="preserve"> for UE to support both </w:t>
      </w:r>
      <w:r w:rsidR="005E0C58">
        <w:t xml:space="preserve">types, </w:t>
      </w:r>
      <w:r>
        <w:t>and network will consume more resources</w:t>
      </w:r>
      <w:r w:rsidR="005E0C58">
        <w:t>,</w:t>
      </w:r>
      <w:r>
        <w:t xml:space="preserve"> while there is</w:t>
      </w:r>
      <w:r w:rsidR="005E0C58">
        <w:t xml:space="preserve"> no</w:t>
      </w:r>
      <w:r>
        <w:t xml:space="preserve"> obvious benefit compared with one-sided extension.</w:t>
      </w:r>
    </w:p>
    <w:p w14:paraId="077357F0" w14:textId="5E8E7FD8" w:rsidR="00AF3088" w:rsidRDefault="00BF2F7E" w:rsidP="00A45C69">
      <w:r>
        <w:t xml:space="preserve">The typical implementation is that common LO for both UL and DL corresponding </w:t>
      </w:r>
      <w:r w:rsidR="00FE1B89">
        <w:t xml:space="preserve">to </w:t>
      </w:r>
      <w:r>
        <w:t xml:space="preserve">Fs and dedicated LO for DL-only corresponding </w:t>
      </w:r>
      <w:r w:rsidR="00FE1B89">
        <w:t xml:space="preserve">to </w:t>
      </w:r>
      <w:r>
        <w:t>Fsd</w:t>
      </w:r>
      <w:r w:rsidR="006A5A9F">
        <w:rPr>
          <w:lang w:eastAsia="zh-CN"/>
        </w:rPr>
        <w:t>.</w:t>
      </w:r>
      <w:r w:rsidR="00FE1B89">
        <w:rPr>
          <w:lang w:eastAsia="zh-CN"/>
        </w:rPr>
        <w:t xml:space="preserve"> The one-sided extension is aligned with practical implementation. Though it is named as one-sided extension, in fact it can cover two-sided spectrum (not simultaneously) for DL CC based on network scheduling. Conside</w:t>
      </w:r>
      <w:r w:rsidR="008878CC">
        <w:rPr>
          <w:lang w:eastAsia="zh-CN"/>
        </w:rPr>
        <w:t>ring the agreement of</w:t>
      </w:r>
      <w:r w:rsidR="00FE1B89">
        <w:rPr>
          <w:lang w:eastAsia="zh-CN"/>
        </w:rPr>
        <w:t xml:space="preserve"> </w:t>
      </w:r>
      <w:r w:rsidR="008878CC">
        <w:rPr>
          <w:lang w:eastAsia="zh-CN"/>
        </w:rPr>
        <w:t>“</w:t>
      </w:r>
      <w:r w:rsidR="00FE1B89">
        <w:rPr>
          <w:lang w:eastAsia="zh-CN"/>
        </w:rPr>
        <w:t>Fs</w:t>
      </w:r>
      <w:r w:rsidR="00FE1B89">
        <w:rPr>
          <w:rFonts w:hint="eastAsia"/>
          <w:lang w:eastAsia="zh-CN"/>
        </w:rPr>
        <w:t>&gt;</w:t>
      </w:r>
      <w:r w:rsidR="00FE1B89">
        <w:rPr>
          <w:lang w:eastAsia="zh-CN"/>
        </w:rPr>
        <w:t>Fsd</w:t>
      </w:r>
      <w:r w:rsidR="008878CC">
        <w:rPr>
          <w:lang w:eastAsia="zh-CN"/>
        </w:rPr>
        <w:t>”</w:t>
      </w:r>
      <w:r w:rsidR="00FE1B89">
        <w:rPr>
          <w:lang w:eastAsia="zh-CN"/>
        </w:rPr>
        <w:t xml:space="preserve">, </w:t>
      </w:r>
      <w:r w:rsidR="008878CC">
        <w:rPr>
          <w:lang w:eastAsia="zh-CN"/>
        </w:rPr>
        <w:t>the one-sided extension is enough to cover all practical usage scenarios. It is not necessary for UE to support two-sided extension which will make things more complicated without benefits.</w:t>
      </w:r>
    </w:p>
    <w:p w14:paraId="2A83969B" w14:textId="5B156CD1" w:rsidR="009B15F9" w:rsidRPr="001D2C8E" w:rsidRDefault="009B2CCD" w:rsidP="00A45C69">
      <w:pPr>
        <w:rPr>
          <w:b/>
          <w:bCs/>
        </w:rPr>
      </w:pPr>
      <w:r w:rsidRPr="001D2C8E">
        <w:rPr>
          <w:b/>
          <w:bCs/>
        </w:rPr>
        <w:t>Proposal 1:</w:t>
      </w:r>
      <w:r w:rsidR="008878CC">
        <w:rPr>
          <w:b/>
          <w:bCs/>
        </w:rPr>
        <w:t xml:space="preserve"> DL-only spectrum (Fsd) shall be extended on one side relative to bidirectional spectrum (Fs)</w:t>
      </w:r>
      <w:r w:rsidR="001A65EF">
        <w:rPr>
          <w:b/>
          <w:bCs/>
        </w:rPr>
        <w:t xml:space="preserve">. </w:t>
      </w:r>
    </w:p>
    <w:p w14:paraId="74407849" w14:textId="6BEF7F89" w:rsidR="00314F38" w:rsidRDefault="00314F38" w:rsidP="00B7523E">
      <w:pPr>
        <w:pStyle w:val="Heading2"/>
      </w:pPr>
      <w:r>
        <w:lastRenderedPageBreak/>
        <w:t>2.2</w:t>
      </w:r>
      <w:r>
        <w:tab/>
      </w:r>
      <w:r w:rsidR="00A047B4">
        <w:t>breaks in frequency for EIS relaxation</w:t>
      </w:r>
      <w:r w:rsidR="003C4D4C">
        <w:t xml:space="preserve"> table</w:t>
      </w:r>
    </w:p>
    <w:p w14:paraId="094D84B7" w14:textId="0FD9DEE5" w:rsidR="00314F38" w:rsidRDefault="00572803" w:rsidP="00314F38">
      <w:r>
        <w:t>After the frequency separation is enhanced up to 2400MHz, the EIS relaxation table</w:t>
      </w:r>
      <w:r w:rsidR="00C72B89">
        <w:t xml:space="preserve"> for </w:t>
      </w:r>
      <w:r w:rsidR="00C72B89" w:rsidRPr="00C72B89">
        <w:t>ΔR</w:t>
      </w:r>
      <w:r w:rsidR="00C72B89" w:rsidRPr="00C72B89">
        <w:rPr>
          <w:vertAlign w:val="subscript"/>
        </w:rPr>
        <w:t>IB</w:t>
      </w:r>
      <w:r>
        <w:t xml:space="preserve"> is need to be revised to accommodate wider frequency separation.</w:t>
      </w:r>
      <w:r w:rsidR="00C72B89">
        <w:t xml:space="preserve"> </w:t>
      </w:r>
    </w:p>
    <w:p w14:paraId="3448B2AF" w14:textId="3CA71B70" w:rsidR="00C72B89" w:rsidRDefault="00C72B89" w:rsidP="00314F38">
      <w:r>
        <w:t xml:space="preserve">In RAN4#94e meeting, two options </w:t>
      </w:r>
      <w:r w:rsidR="00080A9E">
        <w:t>were discussed</w:t>
      </w:r>
      <w:r>
        <w:t>:</w:t>
      </w:r>
    </w:p>
    <w:p w14:paraId="55A64A89" w14:textId="1C469B24" w:rsidR="00C72B89" w:rsidRPr="00C72B89" w:rsidRDefault="00C72B89" w:rsidP="00C72B89">
      <w:pPr>
        <w:pStyle w:val="ListParagraph"/>
        <w:numPr>
          <w:ilvl w:val="1"/>
          <w:numId w:val="28"/>
        </w:numPr>
        <w:spacing w:after="120"/>
        <w:ind w:firstLineChars="0"/>
        <w:rPr>
          <w:rFonts w:ascii="Times New Roman" w:eastAsia="DengXian" w:hAnsi="Times New Roman" w:cs="Times New Roman"/>
          <w:sz w:val="20"/>
          <w:szCs w:val="20"/>
          <w:lang w:val="en-GB" w:eastAsia="ko-KR"/>
        </w:rPr>
      </w:pPr>
      <w:r w:rsidRPr="00C72B89">
        <w:rPr>
          <w:rFonts w:ascii="Times New Roman" w:eastAsia="DengXian" w:hAnsi="Times New Roman" w:cs="Times New Roman"/>
          <w:sz w:val="20"/>
          <w:szCs w:val="20"/>
          <w:lang w:val="en-GB" w:eastAsia="ko-KR"/>
        </w:rPr>
        <w:t>Option 1: Treat 1400 to 2000 MHz range separately from 2000 to 2400 MHz</w:t>
      </w:r>
    </w:p>
    <w:tbl>
      <w:tblPr>
        <w:tblW w:w="6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872"/>
      </w:tblGrid>
      <w:tr w:rsidR="00C72B89" w:rsidRPr="00ED46BF" w14:paraId="11AB474F" w14:textId="77777777" w:rsidTr="004C0FDC">
        <w:trPr>
          <w:jc w:val="center"/>
        </w:trPr>
        <w:tc>
          <w:tcPr>
            <w:tcW w:w="4361" w:type="dxa"/>
            <w:vAlign w:val="center"/>
          </w:tcPr>
          <w:p w14:paraId="678658E3"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Cumulative Aggregated Channel BW (MHz)</w:t>
            </w:r>
          </w:p>
        </w:tc>
        <w:tc>
          <w:tcPr>
            <w:tcW w:w="1872" w:type="dxa"/>
            <w:shd w:val="clear" w:color="auto" w:fill="auto"/>
            <w:vAlign w:val="center"/>
          </w:tcPr>
          <w:p w14:paraId="280CE49E"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ΔR</w:t>
            </w:r>
            <w:r w:rsidRPr="00ED46BF">
              <w:rPr>
                <w:rFonts w:ascii="Arial" w:eastAsia="Malgun Gothic" w:hAnsi="Arial"/>
                <w:b/>
                <w:sz w:val="18"/>
                <w:vertAlign w:val="subscript"/>
              </w:rPr>
              <w:t>IB</w:t>
            </w:r>
            <w:r w:rsidRPr="00ED46BF">
              <w:rPr>
                <w:rFonts w:ascii="Arial" w:eastAsia="Malgun Gothic" w:hAnsi="Arial"/>
                <w:b/>
                <w:sz w:val="18"/>
              </w:rPr>
              <w:t xml:space="preserve"> (dB)</w:t>
            </w:r>
          </w:p>
        </w:tc>
      </w:tr>
      <w:tr w:rsidR="00C72B89" w:rsidRPr="00ED46BF" w14:paraId="2FC955EF" w14:textId="77777777" w:rsidTr="004C0FDC">
        <w:trPr>
          <w:jc w:val="center"/>
        </w:trPr>
        <w:tc>
          <w:tcPr>
            <w:tcW w:w="4361" w:type="dxa"/>
            <w:vAlign w:val="center"/>
          </w:tcPr>
          <w:p w14:paraId="72DB673B"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 800</w:t>
            </w:r>
          </w:p>
        </w:tc>
        <w:tc>
          <w:tcPr>
            <w:tcW w:w="1872" w:type="dxa"/>
            <w:tcBorders>
              <w:bottom w:val="single" w:sz="4" w:space="0" w:color="auto"/>
            </w:tcBorders>
            <w:shd w:val="clear" w:color="auto" w:fill="auto"/>
            <w:vAlign w:val="center"/>
          </w:tcPr>
          <w:p w14:paraId="661431DA"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0.0</w:t>
            </w:r>
          </w:p>
        </w:tc>
      </w:tr>
      <w:tr w:rsidR="00C72B89" w:rsidRPr="00ED46BF" w14:paraId="421E2852" w14:textId="77777777" w:rsidTr="004C0FDC">
        <w:trPr>
          <w:jc w:val="center"/>
        </w:trPr>
        <w:tc>
          <w:tcPr>
            <w:tcW w:w="4361" w:type="dxa"/>
            <w:vAlign w:val="center"/>
          </w:tcPr>
          <w:p w14:paraId="59F26E37"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eastAsia="Malgun Gothic"/>
                <w:bCs/>
                <w:sz w:val="18"/>
              </w:rPr>
              <w:t xml:space="preserve">&gt; </w:t>
            </w:r>
            <w:r w:rsidRPr="00ED46BF">
              <w:rPr>
                <w:rFonts w:ascii="Arial" w:eastAsia="Malgun Gothic" w:hAnsi="Arial"/>
                <w:bCs/>
                <w:sz w:val="18"/>
              </w:rPr>
              <w:t xml:space="preserve">800 </w:t>
            </w:r>
            <w:r w:rsidRPr="00ED46BF">
              <w:rPr>
                <w:rFonts w:ascii="Arial" w:eastAsia="Malgun Gothic" w:hAnsi="Arial"/>
                <w:sz w:val="18"/>
              </w:rPr>
              <w:t xml:space="preserve">and </w:t>
            </w:r>
            <w:r w:rsidRPr="00ED46BF">
              <w:rPr>
                <w:rFonts w:ascii="Arial" w:eastAsia="Malgun Gothic" w:hAnsi="Arial"/>
                <w:bCs/>
                <w:sz w:val="18"/>
              </w:rPr>
              <w:t>≤ 1400</w:t>
            </w:r>
          </w:p>
        </w:tc>
        <w:tc>
          <w:tcPr>
            <w:tcW w:w="1872" w:type="dxa"/>
            <w:shd w:val="clear" w:color="auto" w:fill="auto"/>
            <w:vAlign w:val="center"/>
          </w:tcPr>
          <w:p w14:paraId="447B1D41" w14:textId="77777777" w:rsidR="00C72B89" w:rsidRPr="00ED46BF" w:rsidRDefault="00C72B89" w:rsidP="004C0FDC">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0.5</w:t>
            </w:r>
          </w:p>
        </w:tc>
      </w:tr>
      <w:tr w:rsidR="00C72B89" w:rsidRPr="00ED46BF" w14:paraId="34076328" w14:textId="77777777" w:rsidTr="004C0FDC">
        <w:trPr>
          <w:jc w:val="center"/>
        </w:trPr>
        <w:tc>
          <w:tcPr>
            <w:tcW w:w="4361" w:type="dxa"/>
            <w:vAlign w:val="center"/>
          </w:tcPr>
          <w:p w14:paraId="19FDA63C" w14:textId="77777777" w:rsidR="00C72B89" w:rsidRPr="008E51C0" w:rsidRDefault="00C72B89" w:rsidP="004C0FDC">
            <w:pPr>
              <w:keepNext/>
              <w:keepLines/>
              <w:overflowPunct w:val="0"/>
              <w:autoSpaceDE w:val="0"/>
              <w:autoSpaceDN w:val="0"/>
              <w:adjustRightInd w:val="0"/>
              <w:spacing w:after="0"/>
              <w:jc w:val="center"/>
              <w:textAlignment w:val="baseline"/>
              <w:rPr>
                <w:rFonts w:eastAsia="Malgun Gothic"/>
                <w:bCs/>
                <w:color w:val="4472C4"/>
                <w:sz w:val="18"/>
                <w:u w:val="single"/>
              </w:rPr>
            </w:pPr>
            <w:r w:rsidRPr="008E51C0">
              <w:rPr>
                <w:rFonts w:eastAsia="Malgun Gothic"/>
                <w:bCs/>
                <w:color w:val="4472C4"/>
                <w:sz w:val="18"/>
                <w:u w:val="single"/>
              </w:rPr>
              <w:t xml:space="preserve">&gt; </w:t>
            </w:r>
            <w:r w:rsidRPr="008E51C0">
              <w:rPr>
                <w:rFonts w:ascii="Arial" w:eastAsia="Malgun Gothic" w:hAnsi="Arial"/>
                <w:bCs/>
                <w:color w:val="4472C4"/>
                <w:sz w:val="18"/>
                <w:u w:val="single"/>
              </w:rPr>
              <w:t xml:space="preserve">1400 </w:t>
            </w:r>
            <w:r w:rsidRPr="008E51C0">
              <w:rPr>
                <w:rFonts w:ascii="Arial" w:eastAsia="Malgun Gothic" w:hAnsi="Arial"/>
                <w:color w:val="4472C4"/>
                <w:sz w:val="18"/>
                <w:u w:val="single"/>
              </w:rPr>
              <w:t xml:space="preserve">and </w:t>
            </w:r>
            <w:r w:rsidRPr="008E51C0">
              <w:rPr>
                <w:rFonts w:ascii="Arial" w:eastAsia="Malgun Gothic" w:hAnsi="Arial"/>
                <w:bCs/>
                <w:color w:val="4472C4"/>
                <w:sz w:val="18"/>
                <w:u w:val="single"/>
              </w:rPr>
              <w:t>≤ 2000</w:t>
            </w:r>
          </w:p>
        </w:tc>
        <w:tc>
          <w:tcPr>
            <w:tcW w:w="1872" w:type="dxa"/>
            <w:shd w:val="clear" w:color="auto" w:fill="auto"/>
            <w:vAlign w:val="center"/>
          </w:tcPr>
          <w:p w14:paraId="32DF1A79" w14:textId="77777777" w:rsidR="00C72B89" w:rsidRPr="008E51C0" w:rsidRDefault="00C72B89" w:rsidP="004C0FDC">
            <w:pPr>
              <w:keepNext/>
              <w:keepLines/>
              <w:overflowPunct w:val="0"/>
              <w:autoSpaceDE w:val="0"/>
              <w:autoSpaceDN w:val="0"/>
              <w:adjustRightInd w:val="0"/>
              <w:spacing w:after="0"/>
              <w:jc w:val="center"/>
              <w:textAlignment w:val="baseline"/>
              <w:rPr>
                <w:rFonts w:ascii="Arial" w:eastAsia="Malgun Gothic" w:hAnsi="Arial"/>
                <w:bCs/>
                <w:color w:val="4472C4"/>
                <w:sz w:val="18"/>
                <w:u w:val="single"/>
              </w:rPr>
            </w:pPr>
            <w:r w:rsidRPr="008E51C0">
              <w:rPr>
                <w:rFonts w:ascii="Arial" w:eastAsia="Malgun Gothic" w:hAnsi="Arial"/>
                <w:bCs/>
                <w:color w:val="4472C4"/>
                <w:sz w:val="18"/>
                <w:u w:val="single"/>
              </w:rPr>
              <w:t>TBD</w:t>
            </w:r>
          </w:p>
        </w:tc>
      </w:tr>
      <w:tr w:rsidR="00C72B89" w:rsidRPr="00ED46BF" w14:paraId="62E943CA" w14:textId="77777777" w:rsidTr="004C0FDC">
        <w:trPr>
          <w:jc w:val="center"/>
        </w:trPr>
        <w:tc>
          <w:tcPr>
            <w:tcW w:w="4361" w:type="dxa"/>
            <w:vAlign w:val="center"/>
          </w:tcPr>
          <w:p w14:paraId="1A73CF26" w14:textId="77777777" w:rsidR="00C72B89" w:rsidRPr="008E51C0" w:rsidRDefault="00C72B89" w:rsidP="004C0FDC">
            <w:pPr>
              <w:keepNext/>
              <w:keepLines/>
              <w:overflowPunct w:val="0"/>
              <w:autoSpaceDE w:val="0"/>
              <w:autoSpaceDN w:val="0"/>
              <w:adjustRightInd w:val="0"/>
              <w:spacing w:after="0"/>
              <w:jc w:val="center"/>
              <w:textAlignment w:val="baseline"/>
              <w:rPr>
                <w:rFonts w:eastAsia="Malgun Gothic"/>
                <w:bCs/>
                <w:color w:val="4472C4"/>
                <w:sz w:val="18"/>
                <w:u w:val="single"/>
              </w:rPr>
            </w:pPr>
            <w:r w:rsidRPr="008E51C0">
              <w:rPr>
                <w:rFonts w:eastAsia="Malgun Gothic"/>
                <w:bCs/>
                <w:color w:val="4472C4"/>
                <w:sz w:val="18"/>
                <w:u w:val="single"/>
              </w:rPr>
              <w:t xml:space="preserve">&gt; </w:t>
            </w:r>
            <w:r w:rsidRPr="008E51C0">
              <w:rPr>
                <w:rFonts w:ascii="Arial" w:eastAsia="Malgun Gothic" w:hAnsi="Arial"/>
                <w:bCs/>
                <w:color w:val="4472C4"/>
                <w:sz w:val="18"/>
                <w:u w:val="single"/>
              </w:rPr>
              <w:t xml:space="preserve">2000 </w:t>
            </w:r>
            <w:r w:rsidRPr="008E51C0">
              <w:rPr>
                <w:rFonts w:ascii="Arial" w:eastAsia="Malgun Gothic" w:hAnsi="Arial"/>
                <w:color w:val="4472C4"/>
                <w:sz w:val="18"/>
                <w:u w:val="single"/>
              </w:rPr>
              <w:t xml:space="preserve">and </w:t>
            </w:r>
            <w:r w:rsidRPr="008E51C0">
              <w:rPr>
                <w:rFonts w:ascii="Arial" w:eastAsia="Malgun Gothic" w:hAnsi="Arial"/>
                <w:bCs/>
                <w:color w:val="4472C4"/>
                <w:sz w:val="18"/>
                <w:u w:val="single"/>
              </w:rPr>
              <w:t>≤ 2400</w:t>
            </w:r>
          </w:p>
        </w:tc>
        <w:tc>
          <w:tcPr>
            <w:tcW w:w="1872" w:type="dxa"/>
            <w:tcBorders>
              <w:bottom w:val="single" w:sz="4" w:space="0" w:color="auto"/>
            </w:tcBorders>
            <w:shd w:val="clear" w:color="auto" w:fill="auto"/>
            <w:vAlign w:val="center"/>
          </w:tcPr>
          <w:p w14:paraId="67DEA192" w14:textId="77777777" w:rsidR="00C72B89" w:rsidRPr="008E51C0" w:rsidRDefault="00C72B89" w:rsidP="004C0FDC">
            <w:pPr>
              <w:keepNext/>
              <w:keepLines/>
              <w:overflowPunct w:val="0"/>
              <w:autoSpaceDE w:val="0"/>
              <w:autoSpaceDN w:val="0"/>
              <w:adjustRightInd w:val="0"/>
              <w:spacing w:after="0"/>
              <w:jc w:val="center"/>
              <w:textAlignment w:val="baseline"/>
              <w:rPr>
                <w:rFonts w:ascii="Arial" w:eastAsia="Malgun Gothic" w:hAnsi="Arial"/>
                <w:bCs/>
                <w:color w:val="4472C4"/>
                <w:sz w:val="18"/>
                <w:u w:val="single"/>
              </w:rPr>
            </w:pPr>
            <w:r w:rsidRPr="008E51C0">
              <w:rPr>
                <w:rFonts w:ascii="Arial" w:eastAsia="Malgun Gothic" w:hAnsi="Arial"/>
                <w:bCs/>
                <w:color w:val="4472C4"/>
                <w:sz w:val="18"/>
                <w:u w:val="single"/>
              </w:rPr>
              <w:t>TBD</w:t>
            </w:r>
          </w:p>
        </w:tc>
      </w:tr>
    </w:tbl>
    <w:p w14:paraId="29DA8FD9" w14:textId="77777777" w:rsidR="00C72B89" w:rsidRPr="00C72B89" w:rsidRDefault="00C72B89" w:rsidP="00C72B89">
      <w:pPr>
        <w:spacing w:after="120"/>
        <w:ind w:left="1296"/>
        <w:rPr>
          <w:color w:val="000000"/>
          <w:szCs w:val="24"/>
          <w:lang w:eastAsia="zh-CN"/>
        </w:rPr>
      </w:pPr>
    </w:p>
    <w:p w14:paraId="40CD4E26" w14:textId="5735A143" w:rsidR="00C72B89" w:rsidRPr="00C72B89" w:rsidRDefault="00C72B89" w:rsidP="00C72B89">
      <w:pPr>
        <w:pStyle w:val="ListParagraph"/>
        <w:numPr>
          <w:ilvl w:val="1"/>
          <w:numId w:val="28"/>
        </w:numPr>
        <w:spacing w:after="120"/>
        <w:ind w:firstLineChars="0"/>
        <w:rPr>
          <w:rFonts w:ascii="Times New Roman" w:eastAsia="DengXian" w:hAnsi="Times New Roman" w:cs="Times New Roman"/>
          <w:sz w:val="20"/>
          <w:szCs w:val="20"/>
          <w:lang w:val="en-GB" w:eastAsia="ko-KR"/>
        </w:rPr>
      </w:pPr>
      <w:r w:rsidRPr="00C72B89">
        <w:rPr>
          <w:rFonts w:ascii="Times New Roman" w:eastAsia="DengXian" w:hAnsi="Times New Roman" w:cs="Times New Roman"/>
          <w:sz w:val="20"/>
          <w:szCs w:val="20"/>
          <w:lang w:val="en-GB" w:eastAsia="ko-KR"/>
        </w:rPr>
        <w:t>Option 2: Treat 1400 to 2400 MHz as one rang</w:t>
      </w:r>
      <w:r>
        <w:rPr>
          <w:rFonts w:ascii="Times New Roman" w:eastAsia="DengXian" w:hAnsi="Times New Roman" w:cs="Times New Roman"/>
          <w:sz w:val="20"/>
          <w:szCs w:val="20"/>
          <w:lang w:val="en-GB" w:eastAsia="ko-KR"/>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824"/>
      </w:tblGrid>
      <w:tr w:rsidR="00C72B89" w:rsidRPr="00E223CC" w14:paraId="47BF7A6E" w14:textId="77777777" w:rsidTr="004C0FDC">
        <w:trPr>
          <w:jc w:val="center"/>
        </w:trPr>
        <w:tc>
          <w:tcPr>
            <w:tcW w:w="4390" w:type="dxa"/>
            <w:shd w:val="clear" w:color="auto" w:fill="D9D9D9"/>
          </w:tcPr>
          <w:p w14:paraId="1F3BEB3D" w14:textId="77777777" w:rsidR="00C72B89" w:rsidRPr="00E223CC" w:rsidRDefault="00C72B89" w:rsidP="004C0FDC">
            <w:pPr>
              <w:keepNext/>
              <w:keepLines/>
              <w:spacing w:after="0"/>
              <w:jc w:val="center"/>
              <w:rPr>
                <w:rFonts w:ascii="Arial" w:eastAsia="Times New Roman" w:hAnsi="Arial"/>
                <w:b/>
                <w:sz w:val="18"/>
              </w:rPr>
            </w:pPr>
            <w:r w:rsidRPr="00E223CC">
              <w:rPr>
                <w:rFonts w:ascii="Arial" w:eastAsia="Times New Roman" w:hAnsi="Arial"/>
                <w:b/>
                <w:sz w:val="18"/>
              </w:rPr>
              <w:t>Cumulative Aggregated Channel BW (MHz)</w:t>
            </w:r>
          </w:p>
        </w:tc>
        <w:tc>
          <w:tcPr>
            <w:tcW w:w="1824" w:type="dxa"/>
            <w:shd w:val="clear" w:color="auto" w:fill="D9D9D9"/>
          </w:tcPr>
          <w:p w14:paraId="58BC380F" w14:textId="77777777" w:rsidR="00C72B89" w:rsidRPr="00E223CC" w:rsidRDefault="00C72B89" w:rsidP="004C0FDC">
            <w:pPr>
              <w:keepNext/>
              <w:keepLines/>
              <w:spacing w:after="0"/>
              <w:jc w:val="center"/>
              <w:rPr>
                <w:rFonts w:ascii="Arial" w:eastAsia="Times New Roman" w:hAnsi="Arial"/>
                <w:b/>
                <w:sz w:val="18"/>
              </w:rPr>
            </w:pPr>
            <w:r w:rsidRPr="00E223CC">
              <w:rPr>
                <w:rFonts w:ascii="Arial" w:eastAsia="Times New Roman" w:hAnsi="Arial" w:cs="Arial"/>
                <w:b/>
                <w:sz w:val="18"/>
                <w:szCs w:val="18"/>
              </w:rPr>
              <w:t>ΔR</w:t>
            </w:r>
            <w:r w:rsidRPr="00E223CC">
              <w:rPr>
                <w:rFonts w:ascii="Arial" w:eastAsia="Times New Roman" w:hAnsi="Arial" w:cs="Arial"/>
                <w:b/>
                <w:sz w:val="12"/>
                <w:szCs w:val="12"/>
              </w:rPr>
              <w:t xml:space="preserve">IB </w:t>
            </w:r>
            <w:r w:rsidRPr="00E223CC">
              <w:rPr>
                <w:rFonts w:ascii="Arial" w:eastAsia="Times New Roman" w:hAnsi="Arial" w:cs="Arial"/>
                <w:b/>
                <w:sz w:val="18"/>
                <w:szCs w:val="18"/>
              </w:rPr>
              <w:t>(dB)</w:t>
            </w:r>
          </w:p>
        </w:tc>
      </w:tr>
      <w:tr w:rsidR="00C72B89" w:rsidRPr="00E223CC" w14:paraId="37C87AC9" w14:textId="77777777" w:rsidTr="004C0FDC">
        <w:trPr>
          <w:jc w:val="center"/>
        </w:trPr>
        <w:tc>
          <w:tcPr>
            <w:tcW w:w="4390" w:type="dxa"/>
          </w:tcPr>
          <w:p w14:paraId="17C8A5C8" w14:textId="77777777" w:rsidR="00C72B89" w:rsidRPr="00E223CC" w:rsidRDefault="00C72B89" w:rsidP="004C0FDC">
            <w:pPr>
              <w:keepNext/>
              <w:keepLines/>
              <w:spacing w:after="0"/>
              <w:jc w:val="center"/>
              <w:rPr>
                <w:rFonts w:ascii="Arial" w:eastAsia="Times New Roman" w:hAnsi="Arial"/>
                <w:sz w:val="18"/>
              </w:rPr>
            </w:pPr>
            <w:r w:rsidRPr="00E223CC">
              <w:rPr>
                <w:rFonts w:ascii="Arial" w:eastAsia="Times New Roman" w:hAnsi="Arial"/>
                <w:bCs/>
                <w:sz w:val="18"/>
                <w:lang w:eastAsia="ja-JP"/>
              </w:rPr>
              <w:t>≤ 800</w:t>
            </w:r>
          </w:p>
        </w:tc>
        <w:tc>
          <w:tcPr>
            <w:tcW w:w="1824" w:type="dxa"/>
          </w:tcPr>
          <w:p w14:paraId="078C98A4" w14:textId="77777777" w:rsidR="00C72B89" w:rsidRPr="00E223CC" w:rsidRDefault="00C72B89" w:rsidP="004C0FDC">
            <w:pPr>
              <w:keepNext/>
              <w:keepLines/>
              <w:spacing w:after="0"/>
              <w:jc w:val="center"/>
              <w:rPr>
                <w:rFonts w:ascii="Arial" w:eastAsia="Times New Roman" w:hAnsi="Arial"/>
                <w:sz w:val="18"/>
              </w:rPr>
            </w:pPr>
            <w:r w:rsidRPr="00E223CC">
              <w:rPr>
                <w:rFonts w:ascii="Arial" w:eastAsia="Times New Roman" w:hAnsi="Arial"/>
                <w:sz w:val="18"/>
              </w:rPr>
              <w:t>0.0</w:t>
            </w:r>
          </w:p>
        </w:tc>
      </w:tr>
      <w:tr w:rsidR="00C72B89" w:rsidRPr="00E223CC" w14:paraId="34E6CB51" w14:textId="77777777" w:rsidTr="004C0FDC">
        <w:trPr>
          <w:jc w:val="center"/>
        </w:trPr>
        <w:tc>
          <w:tcPr>
            <w:tcW w:w="4390" w:type="dxa"/>
          </w:tcPr>
          <w:p w14:paraId="211B3522" w14:textId="77777777" w:rsidR="00C72B89" w:rsidRPr="00E223CC" w:rsidRDefault="00C72B89" w:rsidP="004C0FDC">
            <w:pPr>
              <w:keepNext/>
              <w:keepLines/>
              <w:spacing w:after="0"/>
              <w:jc w:val="center"/>
              <w:rPr>
                <w:rFonts w:ascii="Arial" w:eastAsia="Times New Roman" w:hAnsi="Arial"/>
                <w:sz w:val="18"/>
              </w:rPr>
            </w:pPr>
            <w:r w:rsidRPr="00E223CC">
              <w:rPr>
                <w:rFonts w:ascii="Arial" w:eastAsia="Times New Roman" w:hAnsi="Arial"/>
                <w:bCs/>
                <w:sz w:val="18"/>
                <w:lang w:eastAsia="ja-JP"/>
              </w:rPr>
              <w:t>&gt; 800 and ≤ 1400</w:t>
            </w:r>
          </w:p>
        </w:tc>
        <w:tc>
          <w:tcPr>
            <w:tcW w:w="1824" w:type="dxa"/>
          </w:tcPr>
          <w:p w14:paraId="2BD2111A" w14:textId="77777777" w:rsidR="00C72B89" w:rsidRPr="00E223CC" w:rsidRDefault="00C72B89" w:rsidP="004C0FDC">
            <w:pPr>
              <w:keepNext/>
              <w:keepLines/>
              <w:spacing w:after="0"/>
              <w:jc w:val="center"/>
              <w:rPr>
                <w:rFonts w:ascii="Arial" w:eastAsia="Times New Roman" w:hAnsi="Arial"/>
                <w:sz w:val="18"/>
              </w:rPr>
            </w:pPr>
            <w:r w:rsidRPr="00E223CC">
              <w:rPr>
                <w:rFonts w:ascii="Arial" w:eastAsia="Times New Roman" w:hAnsi="Arial"/>
                <w:sz w:val="18"/>
              </w:rPr>
              <w:t>0.5</w:t>
            </w:r>
          </w:p>
        </w:tc>
      </w:tr>
      <w:tr w:rsidR="00C72B89" w:rsidRPr="00E223CC" w14:paraId="484A07CF" w14:textId="77777777" w:rsidTr="004C0FDC">
        <w:trPr>
          <w:jc w:val="center"/>
        </w:trPr>
        <w:tc>
          <w:tcPr>
            <w:tcW w:w="4390" w:type="dxa"/>
          </w:tcPr>
          <w:p w14:paraId="1512B719" w14:textId="77777777" w:rsidR="00C72B89" w:rsidRPr="008E51C0" w:rsidRDefault="00C72B89" w:rsidP="004C0FDC">
            <w:pPr>
              <w:keepNext/>
              <w:keepLines/>
              <w:spacing w:after="0"/>
              <w:jc w:val="center"/>
              <w:rPr>
                <w:rFonts w:ascii="Arial" w:eastAsia="Times New Roman" w:hAnsi="Arial"/>
                <w:color w:val="4472C4"/>
                <w:sz w:val="18"/>
                <w:u w:val="single"/>
              </w:rPr>
            </w:pPr>
            <w:r w:rsidRPr="008E51C0">
              <w:rPr>
                <w:rFonts w:ascii="Arial" w:eastAsia="Times New Roman" w:hAnsi="Arial"/>
                <w:bCs/>
                <w:color w:val="4472C4"/>
                <w:sz w:val="18"/>
                <w:u w:val="single"/>
                <w:lang w:eastAsia="ja-JP"/>
              </w:rPr>
              <w:t>&gt; 1400 and ≤ 2400</w:t>
            </w:r>
          </w:p>
        </w:tc>
        <w:tc>
          <w:tcPr>
            <w:tcW w:w="1824" w:type="dxa"/>
          </w:tcPr>
          <w:p w14:paraId="0A06F74D" w14:textId="77777777" w:rsidR="00C72B89" w:rsidRPr="008E51C0" w:rsidRDefault="00C72B89" w:rsidP="004C0FDC">
            <w:pPr>
              <w:keepNext/>
              <w:keepLines/>
              <w:spacing w:after="0"/>
              <w:jc w:val="center"/>
              <w:rPr>
                <w:rFonts w:ascii="Arial" w:hAnsi="Arial"/>
                <w:color w:val="4472C4"/>
                <w:sz w:val="18"/>
                <w:u w:val="single"/>
                <w:lang w:eastAsia="zh-CN"/>
              </w:rPr>
            </w:pPr>
            <w:r w:rsidRPr="008E51C0">
              <w:rPr>
                <w:rFonts w:ascii="Arial" w:hAnsi="Arial" w:hint="eastAsia"/>
                <w:color w:val="4472C4"/>
                <w:sz w:val="18"/>
                <w:u w:val="single"/>
                <w:lang w:eastAsia="zh-CN"/>
              </w:rPr>
              <w:t>T</w:t>
            </w:r>
            <w:r w:rsidRPr="008E51C0">
              <w:rPr>
                <w:rFonts w:ascii="Arial" w:hAnsi="Arial"/>
                <w:color w:val="4472C4"/>
                <w:sz w:val="18"/>
                <w:u w:val="single"/>
                <w:lang w:eastAsia="zh-CN"/>
              </w:rPr>
              <w:t>BD</w:t>
            </w:r>
          </w:p>
        </w:tc>
      </w:tr>
    </w:tbl>
    <w:p w14:paraId="5B1A6AF0" w14:textId="77777777" w:rsidR="00C72B89" w:rsidRPr="00C72B89" w:rsidRDefault="00C72B89" w:rsidP="00C72B89">
      <w:pPr>
        <w:spacing w:after="120"/>
        <w:ind w:left="1296"/>
        <w:rPr>
          <w:color w:val="000000"/>
          <w:szCs w:val="24"/>
          <w:lang w:eastAsia="zh-CN"/>
        </w:rPr>
      </w:pPr>
    </w:p>
    <w:p w14:paraId="7700F7CB" w14:textId="5DC63BA4" w:rsidR="00062E39" w:rsidRDefault="00EF4A75" w:rsidP="00314F38">
      <w:r>
        <w:rPr>
          <w:rFonts w:hint="eastAsia"/>
          <w:lang w:eastAsia="zh-CN"/>
        </w:rPr>
        <w:t>Different</w:t>
      </w:r>
      <w:r>
        <w:rPr>
          <w:lang w:eastAsia="zh-CN"/>
        </w:rPr>
        <w:t xml:space="preserve"> </w:t>
      </w:r>
      <w:r>
        <w:rPr>
          <w:rFonts w:hint="eastAsia"/>
          <w:lang w:eastAsia="zh-CN"/>
        </w:rPr>
        <w:t>from</w:t>
      </w:r>
      <w:r>
        <w:rPr>
          <w:lang w:eastAsia="zh-CN"/>
        </w:rPr>
        <w:t xml:space="preserve"> FR1, FR2 </w:t>
      </w:r>
      <w:r w:rsidR="007C250B">
        <w:rPr>
          <w:lang w:eastAsia="zh-CN"/>
        </w:rPr>
        <w:t>requirements are all OTA requirements.  Therefore the CA relaxation factors comprise conduction aspect and radiation aspect, moreover beam correspondence under CA status also degrades EIS performance as beam squint occurs for wider frequency separation [</w:t>
      </w:r>
      <w:r w:rsidR="00991941">
        <w:rPr>
          <w:lang w:eastAsia="zh-CN"/>
        </w:rPr>
        <w:t>5</w:t>
      </w:r>
      <w:r w:rsidR="007C250B">
        <w:rPr>
          <w:lang w:eastAsia="zh-CN"/>
        </w:rPr>
        <w:t>]</w:t>
      </w:r>
      <w:r w:rsidR="00B05907">
        <w:rPr>
          <w:lang w:val="en-US"/>
        </w:rPr>
        <w:t>.</w:t>
      </w:r>
      <w:r w:rsidR="00A01584">
        <w:rPr>
          <w:lang w:val="en-US"/>
        </w:rPr>
        <w:t xml:space="preserve"> Given above consideration, it seems too large range to t</w:t>
      </w:r>
      <w:r w:rsidR="00A01584" w:rsidRPr="00C72B89">
        <w:t>reat 1400 to 2400 MHz as one rang</w:t>
      </w:r>
      <w:r w:rsidR="00A01584">
        <w:t>e.</w:t>
      </w:r>
      <w:r w:rsidR="00130190">
        <w:t xml:space="preserve"> </w:t>
      </w:r>
      <w:r w:rsidR="00130190">
        <w:rPr>
          <w:lang w:eastAsia="zh-CN"/>
        </w:rPr>
        <w:t>So it is better to treat 1400 to 2400MHz as two separate ranges</w:t>
      </w:r>
    </w:p>
    <w:p w14:paraId="0DEB493B" w14:textId="15728DD9" w:rsidR="00222D56" w:rsidRPr="00D834AB" w:rsidRDefault="00062E39" w:rsidP="00314F38">
      <w:pPr>
        <w:rPr>
          <w:b/>
          <w:bCs/>
        </w:rPr>
      </w:pPr>
      <w:r w:rsidRPr="00D834AB">
        <w:rPr>
          <w:b/>
          <w:bCs/>
        </w:rPr>
        <w:t xml:space="preserve">Proposal 2: </w:t>
      </w:r>
      <w:r w:rsidR="00130190">
        <w:rPr>
          <w:b/>
          <w:bCs/>
        </w:rPr>
        <w:t>apply two separate ranges</w:t>
      </w:r>
      <w:r w:rsidR="00A17521">
        <w:rPr>
          <w:b/>
          <w:bCs/>
        </w:rPr>
        <w:t xml:space="preserve"> from 1400 to 2400MHz</w:t>
      </w:r>
      <w:r w:rsidR="00130190">
        <w:rPr>
          <w:b/>
          <w:bCs/>
        </w:rPr>
        <w:t xml:space="preserve"> to </w:t>
      </w:r>
      <w:r w:rsidR="00A17521">
        <w:rPr>
          <w:b/>
          <w:bCs/>
        </w:rPr>
        <w:t xml:space="preserve">EIS relaxation table for </w:t>
      </w:r>
      <w:r w:rsidR="00A17521" w:rsidRPr="00A17521">
        <w:rPr>
          <w:b/>
        </w:rPr>
        <w:t>ΔR</w:t>
      </w:r>
      <w:r w:rsidR="00A17521" w:rsidRPr="00A17521">
        <w:rPr>
          <w:b/>
          <w:vertAlign w:val="subscript"/>
        </w:rPr>
        <w:t>IB</w:t>
      </w:r>
      <w:r w:rsidR="006A0689">
        <w:rPr>
          <w:b/>
          <w:bCs/>
        </w:rPr>
        <w:t>.</w:t>
      </w:r>
    </w:p>
    <w:p w14:paraId="3764CAFA" w14:textId="761D5D35" w:rsidR="00235EE7" w:rsidRDefault="00235EE7" w:rsidP="00235EE7">
      <w:pPr>
        <w:pStyle w:val="Heading1"/>
      </w:pPr>
      <w:r>
        <w:t xml:space="preserve">3. </w:t>
      </w:r>
      <w:r>
        <w:tab/>
        <w:t>Conclusion</w:t>
      </w:r>
    </w:p>
    <w:p w14:paraId="5FFC73FA" w14:textId="269661EC" w:rsidR="008878CC" w:rsidRPr="00BF2642" w:rsidRDefault="008878CC" w:rsidP="003E45A0">
      <w:pPr>
        <w:rPr>
          <w:bCs/>
          <w:lang w:eastAsia="zh-CN"/>
        </w:rPr>
      </w:pPr>
      <w:r w:rsidRPr="00BF2642">
        <w:rPr>
          <w:rFonts w:hint="eastAsia"/>
          <w:bCs/>
          <w:lang w:eastAsia="zh-CN"/>
        </w:rPr>
        <w:t>I</w:t>
      </w:r>
      <w:r w:rsidRPr="00BF2642">
        <w:rPr>
          <w:bCs/>
          <w:lang w:eastAsia="zh-CN"/>
        </w:rPr>
        <w:t xml:space="preserve">n this paper we </w:t>
      </w:r>
      <w:r w:rsidR="003C4B22">
        <w:rPr>
          <w:bCs/>
          <w:lang w:eastAsia="zh-CN"/>
        </w:rPr>
        <w:t xml:space="preserve">propose our view on DL-only spectrum type and </w:t>
      </w:r>
      <w:r w:rsidR="003C4B22">
        <w:t>breaks in frequency for EIS relaxation table</w:t>
      </w:r>
      <w:r w:rsidR="002610A0">
        <w:t>:</w:t>
      </w:r>
    </w:p>
    <w:p w14:paraId="777F6F80" w14:textId="77777777" w:rsidR="00E2428D" w:rsidRPr="001D2C8E" w:rsidRDefault="00E2428D" w:rsidP="00E2428D">
      <w:pPr>
        <w:rPr>
          <w:b/>
          <w:bCs/>
        </w:rPr>
      </w:pPr>
      <w:r w:rsidRPr="001D2C8E">
        <w:rPr>
          <w:b/>
          <w:bCs/>
        </w:rPr>
        <w:t>Proposal 1:</w:t>
      </w:r>
      <w:r>
        <w:rPr>
          <w:b/>
          <w:bCs/>
        </w:rPr>
        <w:t xml:space="preserve"> DL-only spectrum (Fsd) shall be extended on one side relative to bidirectional spectrum (Fs). </w:t>
      </w:r>
    </w:p>
    <w:p w14:paraId="7204924B" w14:textId="77777777" w:rsidR="00E2428D" w:rsidRPr="00D834AB" w:rsidRDefault="00E2428D" w:rsidP="00E2428D">
      <w:pPr>
        <w:rPr>
          <w:b/>
          <w:bCs/>
        </w:rPr>
      </w:pPr>
      <w:r w:rsidRPr="00D834AB">
        <w:rPr>
          <w:b/>
          <w:bCs/>
        </w:rPr>
        <w:t xml:space="preserve">Proposal 2: </w:t>
      </w:r>
      <w:r>
        <w:rPr>
          <w:b/>
          <w:bCs/>
        </w:rPr>
        <w:t xml:space="preserve">apply two separate ranges from 1400 to 2400MHz to EIS relaxation table for </w:t>
      </w:r>
      <w:r w:rsidRPr="00A17521">
        <w:rPr>
          <w:b/>
        </w:rPr>
        <w:t>ΔR</w:t>
      </w:r>
      <w:r w:rsidRPr="00A17521">
        <w:rPr>
          <w:b/>
          <w:vertAlign w:val="subscript"/>
        </w:rPr>
        <w:t>IB</w:t>
      </w:r>
      <w:r>
        <w:rPr>
          <w:b/>
          <w:bCs/>
        </w:rPr>
        <w:t>.</w:t>
      </w:r>
    </w:p>
    <w:p w14:paraId="72E8611F" w14:textId="16BABF3F" w:rsidR="00497F17" w:rsidRPr="00BA474A" w:rsidRDefault="00497F17" w:rsidP="00497F17">
      <w:pPr>
        <w:pStyle w:val="Heading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3A0385F" w14:textId="662AA745" w:rsidR="00773D2F" w:rsidRPr="00773D2F" w:rsidRDefault="00773D2F" w:rsidP="001636F4">
      <w:pPr>
        <w:pStyle w:val="List"/>
        <w:numPr>
          <w:ilvl w:val="0"/>
          <w:numId w:val="26"/>
        </w:numPr>
        <w:rPr>
          <w:lang w:val="en-US"/>
        </w:rPr>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773D2F">
        <w:rPr>
          <w:lang w:val="en-US"/>
        </w:rPr>
        <w:t>R4-1916</w:t>
      </w:r>
      <w:r>
        <w:rPr>
          <w:lang w:val="en-US"/>
        </w:rPr>
        <w:t>02</w:t>
      </w:r>
      <w:r w:rsidR="001636F4">
        <w:rPr>
          <w:lang w:val="en-US"/>
        </w:rPr>
        <w:t>1</w:t>
      </w:r>
      <w:r w:rsidRPr="00773D2F">
        <w:rPr>
          <w:lang w:val="en-US"/>
        </w:rPr>
        <w:t xml:space="preserve"> </w:t>
      </w:r>
      <w:r w:rsidRPr="00773D2F">
        <w:rPr>
          <w:lang w:val="en-US"/>
        </w:rPr>
        <w:tab/>
        <w:t>“</w:t>
      </w:r>
      <w:r w:rsidR="001636F4" w:rsidRPr="001636F4">
        <w:rPr>
          <w:lang w:val="en-US"/>
        </w:rPr>
        <w:t>WF on FR2 DL Intra-band CA BW Enhancement</w:t>
      </w:r>
      <w:r w:rsidRPr="00773D2F">
        <w:rPr>
          <w:lang w:val="en-US"/>
        </w:rPr>
        <w:t xml:space="preserve">”, </w:t>
      </w:r>
      <w:bookmarkEnd w:id="2"/>
      <w:bookmarkEnd w:id="3"/>
      <w:r w:rsidR="001636F4">
        <w:rPr>
          <w:i/>
          <w:lang w:val="en-US" w:eastAsia="zh-CN"/>
        </w:rPr>
        <w:t>Qualcomm, Apple, Nokia, Samsung</w:t>
      </w:r>
    </w:p>
    <w:p w14:paraId="6C2C2614" w14:textId="34C753CC" w:rsidR="0083720C" w:rsidRPr="00773D2F" w:rsidRDefault="0083720C" w:rsidP="0083720C">
      <w:pPr>
        <w:pStyle w:val="List"/>
        <w:numPr>
          <w:ilvl w:val="0"/>
          <w:numId w:val="26"/>
        </w:numPr>
        <w:rPr>
          <w:lang w:val="en-US"/>
        </w:rPr>
      </w:pPr>
      <w:r w:rsidRPr="00773D2F">
        <w:rPr>
          <w:lang w:val="en-US"/>
        </w:rPr>
        <w:t>R4-</w:t>
      </w:r>
      <w:r>
        <w:rPr>
          <w:lang w:val="en-US"/>
        </w:rPr>
        <w:t>2001044</w:t>
      </w:r>
      <w:r w:rsidRPr="00773D2F">
        <w:rPr>
          <w:lang w:val="en-US"/>
        </w:rPr>
        <w:t xml:space="preserve"> </w:t>
      </w:r>
      <w:r w:rsidRPr="00773D2F">
        <w:rPr>
          <w:lang w:val="en-US"/>
        </w:rPr>
        <w:tab/>
        <w:t>“</w:t>
      </w:r>
      <w:r w:rsidRPr="0083720C">
        <w:rPr>
          <w:lang w:val="en-US"/>
        </w:rPr>
        <w:t>Discussion on FR2 intra-band DL CA enhancement</w:t>
      </w:r>
      <w:r w:rsidRPr="00773D2F">
        <w:rPr>
          <w:lang w:val="en-US"/>
        </w:rPr>
        <w:t xml:space="preserve">”, </w:t>
      </w:r>
      <w:r>
        <w:rPr>
          <w:i/>
          <w:lang w:val="en-US" w:eastAsia="zh-CN"/>
        </w:rPr>
        <w:t>Nokia</w:t>
      </w:r>
    </w:p>
    <w:p w14:paraId="249F6BBB" w14:textId="20FBD286" w:rsidR="00773D2F" w:rsidRPr="00773D2F" w:rsidRDefault="00773D2F" w:rsidP="00BB6921">
      <w:pPr>
        <w:pStyle w:val="List"/>
        <w:numPr>
          <w:ilvl w:val="0"/>
          <w:numId w:val="26"/>
        </w:numPr>
        <w:rPr>
          <w:lang w:val="en-US"/>
        </w:rPr>
      </w:pPr>
      <w:r w:rsidRPr="00773D2F">
        <w:rPr>
          <w:lang w:val="en-US"/>
        </w:rPr>
        <w:t>R</w:t>
      </w:r>
      <w:r w:rsidR="00B34FB4">
        <w:rPr>
          <w:lang w:val="en-US"/>
        </w:rPr>
        <w:t>4</w:t>
      </w:r>
      <w:r w:rsidRPr="00773D2F">
        <w:rPr>
          <w:lang w:val="en-US"/>
        </w:rPr>
        <w:t>-</w:t>
      </w:r>
      <w:r w:rsidR="003D570B">
        <w:rPr>
          <w:lang w:val="en-US"/>
        </w:rPr>
        <w:t>200</w:t>
      </w:r>
      <w:r w:rsidR="00BB6921">
        <w:rPr>
          <w:lang w:val="en-US"/>
        </w:rPr>
        <w:t>0207</w:t>
      </w:r>
      <w:r w:rsidRPr="00773D2F">
        <w:rPr>
          <w:lang w:val="en-US"/>
        </w:rPr>
        <w:t xml:space="preserve"> </w:t>
      </w:r>
      <w:r w:rsidRPr="00773D2F">
        <w:rPr>
          <w:lang w:val="en-US"/>
        </w:rPr>
        <w:tab/>
        <w:t>“</w:t>
      </w:r>
      <w:r w:rsidR="00BB6921" w:rsidRPr="00BB6921">
        <w:rPr>
          <w:lang w:val="en-US"/>
        </w:rPr>
        <w:t>FR2 DL Intra-band CA BW Enhancement Feature Parameters</w:t>
      </w:r>
      <w:r w:rsidRPr="00773D2F">
        <w:rPr>
          <w:lang w:val="en-US"/>
        </w:rPr>
        <w:t xml:space="preserve">”, </w:t>
      </w:r>
      <w:r w:rsidR="00BB6921">
        <w:rPr>
          <w:i/>
          <w:lang w:val="en-US" w:eastAsia="zh-CN"/>
        </w:rPr>
        <w:t>Qualcomm</w:t>
      </w:r>
    </w:p>
    <w:p w14:paraId="12F4A8E6" w14:textId="7BC9BB3E" w:rsidR="00773D2F" w:rsidRPr="0090385B" w:rsidRDefault="00E9253F" w:rsidP="000F3205">
      <w:pPr>
        <w:pStyle w:val="List"/>
        <w:numPr>
          <w:ilvl w:val="0"/>
          <w:numId w:val="26"/>
        </w:numPr>
        <w:rPr>
          <w:lang w:val="en-US"/>
        </w:rPr>
      </w:pPr>
      <w:r>
        <w:rPr>
          <w:lang w:val="en-US"/>
        </w:rPr>
        <w:t>R4-2000</w:t>
      </w:r>
      <w:r w:rsidR="000F3205">
        <w:rPr>
          <w:lang w:val="en-US"/>
        </w:rPr>
        <w:t>759</w:t>
      </w:r>
      <w:r w:rsidR="00773D2F" w:rsidRPr="00773D2F">
        <w:rPr>
          <w:lang w:val="en-US"/>
        </w:rPr>
        <w:t xml:space="preserve"> </w:t>
      </w:r>
      <w:r w:rsidR="00773D2F" w:rsidRPr="00773D2F">
        <w:rPr>
          <w:lang w:val="en-US"/>
        </w:rPr>
        <w:tab/>
        <w:t>“</w:t>
      </w:r>
      <w:r w:rsidR="000F3205" w:rsidRPr="000F3205">
        <w:rPr>
          <w:lang w:val="en-US"/>
        </w:rPr>
        <w:t>On FR2 DL intra-band CA cumulative aggregated BW enhancement</w:t>
      </w:r>
      <w:r w:rsidR="00773D2F" w:rsidRPr="00773D2F">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r w:rsidR="000F3205">
        <w:rPr>
          <w:rFonts w:hint="eastAsia"/>
          <w:i/>
          <w:lang w:val="en-US" w:eastAsia="zh-CN"/>
        </w:rPr>
        <w:t>M</w:t>
      </w:r>
      <w:r w:rsidR="000F3205">
        <w:rPr>
          <w:i/>
          <w:lang w:val="en-US" w:eastAsia="zh-CN"/>
        </w:rPr>
        <w:t>ediaTe</w:t>
      </w:r>
      <w:r w:rsidR="0083720C">
        <w:rPr>
          <w:i/>
          <w:lang w:val="en-US" w:eastAsia="zh-CN"/>
        </w:rPr>
        <w:t>k</w:t>
      </w:r>
    </w:p>
    <w:p w14:paraId="3F6E3017" w14:textId="77777777" w:rsidR="00707956" w:rsidRPr="00773D2F" w:rsidRDefault="00707956" w:rsidP="00707956">
      <w:pPr>
        <w:pStyle w:val="List"/>
        <w:numPr>
          <w:ilvl w:val="0"/>
          <w:numId w:val="26"/>
        </w:numPr>
        <w:rPr>
          <w:lang w:val="en-US"/>
        </w:rPr>
      </w:pPr>
      <w:r w:rsidRPr="00773D2F">
        <w:rPr>
          <w:lang w:val="en-US"/>
        </w:rPr>
        <w:t>R4-</w:t>
      </w:r>
      <w:r>
        <w:rPr>
          <w:lang w:val="en-US"/>
        </w:rPr>
        <w:t>2002826</w:t>
      </w:r>
      <w:r w:rsidRPr="00773D2F">
        <w:rPr>
          <w:lang w:val="en-US"/>
        </w:rPr>
        <w:t xml:space="preserve"> </w:t>
      </w:r>
      <w:r w:rsidRPr="00773D2F">
        <w:rPr>
          <w:lang w:val="en-US"/>
        </w:rPr>
        <w:tab/>
        <w:t>“</w:t>
      </w:r>
      <w:r w:rsidRPr="0090385B">
        <w:rPr>
          <w:lang w:val="en-US"/>
        </w:rPr>
        <w:t>WF on radiative degradation mechanisms for larger frequency separation</w:t>
      </w:r>
      <w:r w:rsidRPr="00773D2F">
        <w:rPr>
          <w:lang w:val="en-US"/>
        </w:rPr>
        <w:t xml:space="preserve">”, </w:t>
      </w:r>
      <w:r>
        <w:rPr>
          <w:i/>
          <w:lang w:val="en-US" w:eastAsia="zh-CN"/>
        </w:rPr>
        <w:t>Qualcomm</w:t>
      </w:r>
    </w:p>
    <w:p w14:paraId="1E824E0D" w14:textId="77777777" w:rsidR="00E33B8C" w:rsidRPr="00707956" w:rsidRDefault="00E33B8C" w:rsidP="00B4352E">
      <w:pPr>
        <w:pStyle w:val="List"/>
        <w:rPr>
          <w:lang w:val="en-US"/>
        </w:rPr>
      </w:pPr>
    </w:p>
    <w:sectPr w:rsidR="00E33B8C" w:rsidRPr="0070795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C17E1" w14:textId="77777777" w:rsidR="008061DB" w:rsidRDefault="008061DB" w:rsidP="00707BAC">
      <w:pPr>
        <w:spacing w:after="0"/>
      </w:pPr>
      <w:r>
        <w:separator/>
      </w:r>
    </w:p>
  </w:endnote>
  <w:endnote w:type="continuationSeparator" w:id="0">
    <w:p w14:paraId="2C514682" w14:textId="77777777" w:rsidR="008061DB" w:rsidRDefault="008061D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50FD" w14:textId="77777777" w:rsidR="008061DB" w:rsidRDefault="008061DB" w:rsidP="00707BAC">
      <w:pPr>
        <w:spacing w:after="0"/>
      </w:pPr>
      <w:r>
        <w:separator/>
      </w:r>
    </w:p>
  </w:footnote>
  <w:footnote w:type="continuationSeparator" w:id="0">
    <w:p w14:paraId="24995858" w14:textId="77777777" w:rsidR="008061DB" w:rsidRDefault="008061DB"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1D57CE"/>
    <w:multiLevelType w:val="hybridMultilevel"/>
    <w:tmpl w:val="8EE0CA38"/>
    <w:lvl w:ilvl="0" w:tplc="44445D6C">
      <w:start w:val="1"/>
      <w:numFmt w:val="bullet"/>
      <w:lvlText w:val="•"/>
      <w:lvlJc w:val="left"/>
      <w:pPr>
        <w:tabs>
          <w:tab w:val="num" w:pos="720"/>
        </w:tabs>
        <w:ind w:left="720" w:hanging="360"/>
      </w:pPr>
      <w:rPr>
        <w:rFonts w:ascii="Arial" w:hAnsi="Arial" w:hint="default"/>
      </w:rPr>
    </w:lvl>
    <w:lvl w:ilvl="1" w:tplc="614C08EA">
      <w:start w:val="238"/>
      <w:numFmt w:val="bullet"/>
      <w:lvlText w:val="•"/>
      <w:lvlJc w:val="left"/>
      <w:pPr>
        <w:tabs>
          <w:tab w:val="num" w:pos="1440"/>
        </w:tabs>
        <w:ind w:left="1440" w:hanging="360"/>
      </w:pPr>
      <w:rPr>
        <w:rFonts w:ascii="Arial" w:hAnsi="Arial" w:hint="default"/>
      </w:rPr>
    </w:lvl>
    <w:lvl w:ilvl="2" w:tplc="3DC4E782">
      <w:start w:val="238"/>
      <w:numFmt w:val="bullet"/>
      <w:lvlText w:val="•"/>
      <w:lvlJc w:val="left"/>
      <w:pPr>
        <w:tabs>
          <w:tab w:val="num" w:pos="2160"/>
        </w:tabs>
        <w:ind w:left="2160" w:hanging="360"/>
      </w:pPr>
      <w:rPr>
        <w:rFonts w:ascii="Arial" w:hAnsi="Arial" w:hint="default"/>
      </w:rPr>
    </w:lvl>
    <w:lvl w:ilvl="3" w:tplc="29C4B648" w:tentative="1">
      <w:start w:val="1"/>
      <w:numFmt w:val="bullet"/>
      <w:lvlText w:val="•"/>
      <w:lvlJc w:val="left"/>
      <w:pPr>
        <w:tabs>
          <w:tab w:val="num" w:pos="2880"/>
        </w:tabs>
        <w:ind w:left="2880" w:hanging="360"/>
      </w:pPr>
      <w:rPr>
        <w:rFonts w:ascii="Arial" w:hAnsi="Arial" w:hint="default"/>
      </w:rPr>
    </w:lvl>
    <w:lvl w:ilvl="4" w:tplc="557271F6" w:tentative="1">
      <w:start w:val="1"/>
      <w:numFmt w:val="bullet"/>
      <w:lvlText w:val="•"/>
      <w:lvlJc w:val="left"/>
      <w:pPr>
        <w:tabs>
          <w:tab w:val="num" w:pos="3600"/>
        </w:tabs>
        <w:ind w:left="3600" w:hanging="360"/>
      </w:pPr>
      <w:rPr>
        <w:rFonts w:ascii="Arial" w:hAnsi="Arial" w:hint="default"/>
      </w:rPr>
    </w:lvl>
    <w:lvl w:ilvl="5" w:tplc="7FF42A60" w:tentative="1">
      <w:start w:val="1"/>
      <w:numFmt w:val="bullet"/>
      <w:lvlText w:val="•"/>
      <w:lvlJc w:val="left"/>
      <w:pPr>
        <w:tabs>
          <w:tab w:val="num" w:pos="4320"/>
        </w:tabs>
        <w:ind w:left="4320" w:hanging="360"/>
      </w:pPr>
      <w:rPr>
        <w:rFonts w:ascii="Arial" w:hAnsi="Arial" w:hint="default"/>
      </w:rPr>
    </w:lvl>
    <w:lvl w:ilvl="6" w:tplc="FB208F1C" w:tentative="1">
      <w:start w:val="1"/>
      <w:numFmt w:val="bullet"/>
      <w:lvlText w:val="•"/>
      <w:lvlJc w:val="left"/>
      <w:pPr>
        <w:tabs>
          <w:tab w:val="num" w:pos="5040"/>
        </w:tabs>
        <w:ind w:left="5040" w:hanging="360"/>
      </w:pPr>
      <w:rPr>
        <w:rFonts w:ascii="Arial" w:hAnsi="Arial" w:hint="default"/>
      </w:rPr>
    </w:lvl>
    <w:lvl w:ilvl="7" w:tplc="B3067AB6" w:tentative="1">
      <w:start w:val="1"/>
      <w:numFmt w:val="bullet"/>
      <w:lvlText w:val="•"/>
      <w:lvlJc w:val="left"/>
      <w:pPr>
        <w:tabs>
          <w:tab w:val="num" w:pos="5760"/>
        </w:tabs>
        <w:ind w:left="5760" w:hanging="360"/>
      </w:pPr>
      <w:rPr>
        <w:rFonts w:ascii="Arial" w:hAnsi="Arial" w:hint="default"/>
      </w:rPr>
    </w:lvl>
    <w:lvl w:ilvl="8" w:tplc="1C36A9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F138AFC4"/>
    <w:lvl w:ilvl="0" w:tplc="08090001">
      <w:start w:val="1"/>
      <w:numFmt w:val="bullet"/>
      <w:lvlText w:val=""/>
      <w:lvlJc w:val="left"/>
      <w:pPr>
        <w:ind w:left="785" w:hanging="360"/>
      </w:pPr>
      <w:rPr>
        <w:rFonts w:ascii="Symbol" w:hAnsi="Symbol" w:hint="default"/>
      </w:rPr>
    </w:lvl>
    <w:lvl w:ilvl="1" w:tplc="06F41AE0">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8"/>
  </w:num>
  <w:num w:numId="13">
    <w:abstractNumId w:val="20"/>
  </w:num>
  <w:num w:numId="14">
    <w:abstractNumId w:val="10"/>
  </w:num>
  <w:num w:numId="15">
    <w:abstractNumId w:val="7"/>
  </w:num>
  <w:num w:numId="16">
    <w:abstractNumId w:val="26"/>
  </w:num>
  <w:num w:numId="17">
    <w:abstractNumId w:val="12"/>
  </w:num>
  <w:num w:numId="18">
    <w:abstractNumId w:val="24"/>
  </w:num>
  <w:num w:numId="19">
    <w:abstractNumId w:val="9"/>
  </w:num>
  <w:num w:numId="20">
    <w:abstractNumId w:val="14"/>
  </w:num>
  <w:num w:numId="21">
    <w:abstractNumId w:val="23"/>
  </w:num>
  <w:num w:numId="22">
    <w:abstractNumId w:val="27"/>
  </w:num>
  <w:num w:numId="23">
    <w:abstractNumId w:val="19"/>
  </w:num>
  <w:num w:numId="24">
    <w:abstractNumId w:val="17"/>
  </w:num>
  <w:num w:numId="25">
    <w:abstractNumId w:val="16"/>
  </w:num>
  <w:num w:numId="26">
    <w:abstractNumId w:val="25"/>
  </w:num>
  <w:num w:numId="27">
    <w:abstractNumId w:val="1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46A6"/>
    <w:rsid w:val="0001038D"/>
    <w:rsid w:val="00017524"/>
    <w:rsid w:val="00021361"/>
    <w:rsid w:val="00021CED"/>
    <w:rsid w:val="00022941"/>
    <w:rsid w:val="000235E9"/>
    <w:rsid w:val="000262B9"/>
    <w:rsid w:val="00031D75"/>
    <w:rsid w:val="00032669"/>
    <w:rsid w:val="00035A3F"/>
    <w:rsid w:val="00037A84"/>
    <w:rsid w:val="00037E40"/>
    <w:rsid w:val="0004455E"/>
    <w:rsid w:val="000454A9"/>
    <w:rsid w:val="0006136D"/>
    <w:rsid w:val="00062E39"/>
    <w:rsid w:val="00065FBC"/>
    <w:rsid w:val="00077EB3"/>
    <w:rsid w:val="00080A9E"/>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3205"/>
    <w:rsid w:val="000F4FB3"/>
    <w:rsid w:val="000F502F"/>
    <w:rsid w:val="000F519D"/>
    <w:rsid w:val="000F65D1"/>
    <w:rsid w:val="000F7B37"/>
    <w:rsid w:val="000F7ECB"/>
    <w:rsid w:val="00100B99"/>
    <w:rsid w:val="001015AF"/>
    <w:rsid w:val="00104902"/>
    <w:rsid w:val="0010618D"/>
    <w:rsid w:val="001112A4"/>
    <w:rsid w:val="00112950"/>
    <w:rsid w:val="00116429"/>
    <w:rsid w:val="001214AE"/>
    <w:rsid w:val="00122190"/>
    <w:rsid w:val="0012277A"/>
    <w:rsid w:val="0012444A"/>
    <w:rsid w:val="0012615B"/>
    <w:rsid w:val="00126E1A"/>
    <w:rsid w:val="00130190"/>
    <w:rsid w:val="00131AFF"/>
    <w:rsid w:val="00133395"/>
    <w:rsid w:val="001351EB"/>
    <w:rsid w:val="00135A74"/>
    <w:rsid w:val="0014180B"/>
    <w:rsid w:val="00144F7C"/>
    <w:rsid w:val="00144FDD"/>
    <w:rsid w:val="001512D7"/>
    <w:rsid w:val="00156359"/>
    <w:rsid w:val="001573DA"/>
    <w:rsid w:val="00161C73"/>
    <w:rsid w:val="001636F4"/>
    <w:rsid w:val="00166E70"/>
    <w:rsid w:val="00171914"/>
    <w:rsid w:val="00176D7C"/>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747B"/>
    <w:rsid w:val="001E21C9"/>
    <w:rsid w:val="001E3B48"/>
    <w:rsid w:val="001E4305"/>
    <w:rsid w:val="001F62BD"/>
    <w:rsid w:val="00200596"/>
    <w:rsid w:val="00201520"/>
    <w:rsid w:val="00201FB4"/>
    <w:rsid w:val="00202E77"/>
    <w:rsid w:val="00203D36"/>
    <w:rsid w:val="00213653"/>
    <w:rsid w:val="00214B13"/>
    <w:rsid w:val="002151EE"/>
    <w:rsid w:val="00216428"/>
    <w:rsid w:val="002167A7"/>
    <w:rsid w:val="002175EE"/>
    <w:rsid w:val="002208D9"/>
    <w:rsid w:val="00222D56"/>
    <w:rsid w:val="00222D66"/>
    <w:rsid w:val="002267B2"/>
    <w:rsid w:val="00235EE7"/>
    <w:rsid w:val="0023778F"/>
    <w:rsid w:val="002414AB"/>
    <w:rsid w:val="00241773"/>
    <w:rsid w:val="00244785"/>
    <w:rsid w:val="002476C8"/>
    <w:rsid w:val="00251CFA"/>
    <w:rsid w:val="00253CE9"/>
    <w:rsid w:val="002553F6"/>
    <w:rsid w:val="00256DDC"/>
    <w:rsid w:val="0026064B"/>
    <w:rsid w:val="002610A0"/>
    <w:rsid w:val="002611B2"/>
    <w:rsid w:val="00266CCC"/>
    <w:rsid w:val="002702A8"/>
    <w:rsid w:val="002715F5"/>
    <w:rsid w:val="00271A13"/>
    <w:rsid w:val="00271A4B"/>
    <w:rsid w:val="00271E8B"/>
    <w:rsid w:val="00272536"/>
    <w:rsid w:val="00281315"/>
    <w:rsid w:val="002820E8"/>
    <w:rsid w:val="002927A0"/>
    <w:rsid w:val="00292875"/>
    <w:rsid w:val="00293E95"/>
    <w:rsid w:val="002960BC"/>
    <w:rsid w:val="00296FE3"/>
    <w:rsid w:val="002A08FE"/>
    <w:rsid w:val="002A0EE7"/>
    <w:rsid w:val="002A1465"/>
    <w:rsid w:val="002A1534"/>
    <w:rsid w:val="002A1C01"/>
    <w:rsid w:val="002A35C0"/>
    <w:rsid w:val="002A7740"/>
    <w:rsid w:val="002B09A1"/>
    <w:rsid w:val="002B3F06"/>
    <w:rsid w:val="002B5DC6"/>
    <w:rsid w:val="002B76BD"/>
    <w:rsid w:val="002C188C"/>
    <w:rsid w:val="002C65B6"/>
    <w:rsid w:val="002D4CC7"/>
    <w:rsid w:val="002D4FBE"/>
    <w:rsid w:val="002D6A81"/>
    <w:rsid w:val="002E00C3"/>
    <w:rsid w:val="002E332E"/>
    <w:rsid w:val="002E7011"/>
    <w:rsid w:val="002F099C"/>
    <w:rsid w:val="002F1C8C"/>
    <w:rsid w:val="002F28ED"/>
    <w:rsid w:val="00300502"/>
    <w:rsid w:val="00302E72"/>
    <w:rsid w:val="003030FB"/>
    <w:rsid w:val="00306728"/>
    <w:rsid w:val="0030770F"/>
    <w:rsid w:val="00314F38"/>
    <w:rsid w:val="00324D06"/>
    <w:rsid w:val="003312D6"/>
    <w:rsid w:val="00331FD7"/>
    <w:rsid w:val="00333C34"/>
    <w:rsid w:val="0034051F"/>
    <w:rsid w:val="0034635A"/>
    <w:rsid w:val="003476B3"/>
    <w:rsid w:val="00351D53"/>
    <w:rsid w:val="00360EAB"/>
    <w:rsid w:val="00365A0B"/>
    <w:rsid w:val="003665F7"/>
    <w:rsid w:val="00367DF1"/>
    <w:rsid w:val="003701E8"/>
    <w:rsid w:val="00375439"/>
    <w:rsid w:val="00375AA5"/>
    <w:rsid w:val="00387300"/>
    <w:rsid w:val="0038770D"/>
    <w:rsid w:val="00392B77"/>
    <w:rsid w:val="00396CB4"/>
    <w:rsid w:val="0039732A"/>
    <w:rsid w:val="003A1D5C"/>
    <w:rsid w:val="003A281C"/>
    <w:rsid w:val="003A43B2"/>
    <w:rsid w:val="003A4CD3"/>
    <w:rsid w:val="003B2D77"/>
    <w:rsid w:val="003B3C8C"/>
    <w:rsid w:val="003B4BF2"/>
    <w:rsid w:val="003B6F17"/>
    <w:rsid w:val="003C3383"/>
    <w:rsid w:val="003C4B22"/>
    <w:rsid w:val="003C4D4C"/>
    <w:rsid w:val="003D570B"/>
    <w:rsid w:val="003D5A84"/>
    <w:rsid w:val="003E244A"/>
    <w:rsid w:val="003E45A0"/>
    <w:rsid w:val="003E4CBC"/>
    <w:rsid w:val="003E722B"/>
    <w:rsid w:val="003F01CB"/>
    <w:rsid w:val="003F1C99"/>
    <w:rsid w:val="003F30E0"/>
    <w:rsid w:val="003F6DA5"/>
    <w:rsid w:val="004062E5"/>
    <w:rsid w:val="00407CB8"/>
    <w:rsid w:val="004127B2"/>
    <w:rsid w:val="00413286"/>
    <w:rsid w:val="00414CE5"/>
    <w:rsid w:val="00415D3D"/>
    <w:rsid w:val="004213EB"/>
    <w:rsid w:val="00424D1C"/>
    <w:rsid w:val="004300EC"/>
    <w:rsid w:val="00432734"/>
    <w:rsid w:val="00432D09"/>
    <w:rsid w:val="00435B76"/>
    <w:rsid w:val="004509CB"/>
    <w:rsid w:val="004541E5"/>
    <w:rsid w:val="0045428D"/>
    <w:rsid w:val="004544D6"/>
    <w:rsid w:val="00456017"/>
    <w:rsid w:val="00457F94"/>
    <w:rsid w:val="004601B1"/>
    <w:rsid w:val="004609D7"/>
    <w:rsid w:val="00462017"/>
    <w:rsid w:val="004673F2"/>
    <w:rsid w:val="004708F7"/>
    <w:rsid w:val="00471253"/>
    <w:rsid w:val="00474779"/>
    <w:rsid w:val="00474FE5"/>
    <w:rsid w:val="00481250"/>
    <w:rsid w:val="00482C49"/>
    <w:rsid w:val="00484A20"/>
    <w:rsid w:val="00484C72"/>
    <w:rsid w:val="00493943"/>
    <w:rsid w:val="00496FBC"/>
    <w:rsid w:val="00497F17"/>
    <w:rsid w:val="004A75DD"/>
    <w:rsid w:val="004B37BC"/>
    <w:rsid w:val="004B3B08"/>
    <w:rsid w:val="004B7001"/>
    <w:rsid w:val="004C1484"/>
    <w:rsid w:val="004C4B54"/>
    <w:rsid w:val="004C7E10"/>
    <w:rsid w:val="004D17AA"/>
    <w:rsid w:val="004D3585"/>
    <w:rsid w:val="004D43C9"/>
    <w:rsid w:val="004D59D7"/>
    <w:rsid w:val="004D7D70"/>
    <w:rsid w:val="004E0CCF"/>
    <w:rsid w:val="004E11D7"/>
    <w:rsid w:val="004E46A9"/>
    <w:rsid w:val="004F6C74"/>
    <w:rsid w:val="00505F2F"/>
    <w:rsid w:val="005120D5"/>
    <w:rsid w:val="005160BC"/>
    <w:rsid w:val="00521539"/>
    <w:rsid w:val="005266F8"/>
    <w:rsid w:val="00531BE1"/>
    <w:rsid w:val="00532DE4"/>
    <w:rsid w:val="00532EAA"/>
    <w:rsid w:val="005341AC"/>
    <w:rsid w:val="00534509"/>
    <w:rsid w:val="00545BAE"/>
    <w:rsid w:val="005520D7"/>
    <w:rsid w:val="005536D9"/>
    <w:rsid w:val="00562289"/>
    <w:rsid w:val="00562430"/>
    <w:rsid w:val="00562DA2"/>
    <w:rsid w:val="00566A51"/>
    <w:rsid w:val="00570432"/>
    <w:rsid w:val="00571120"/>
    <w:rsid w:val="00572803"/>
    <w:rsid w:val="0057452A"/>
    <w:rsid w:val="005839AE"/>
    <w:rsid w:val="0058581A"/>
    <w:rsid w:val="0058669B"/>
    <w:rsid w:val="005878F8"/>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D1530"/>
    <w:rsid w:val="005D1BD4"/>
    <w:rsid w:val="005D2EF9"/>
    <w:rsid w:val="005D3879"/>
    <w:rsid w:val="005E0C58"/>
    <w:rsid w:val="005E1DB3"/>
    <w:rsid w:val="005E2B0B"/>
    <w:rsid w:val="005E4466"/>
    <w:rsid w:val="005E61DE"/>
    <w:rsid w:val="005E6E73"/>
    <w:rsid w:val="005E7040"/>
    <w:rsid w:val="005F33D7"/>
    <w:rsid w:val="005F35A7"/>
    <w:rsid w:val="00600A82"/>
    <w:rsid w:val="0060357A"/>
    <w:rsid w:val="0060402D"/>
    <w:rsid w:val="00606A5C"/>
    <w:rsid w:val="006126E1"/>
    <w:rsid w:val="00613A36"/>
    <w:rsid w:val="00614B5C"/>
    <w:rsid w:val="00620F8A"/>
    <w:rsid w:val="006360DE"/>
    <w:rsid w:val="006443D3"/>
    <w:rsid w:val="006465F2"/>
    <w:rsid w:val="00652416"/>
    <w:rsid w:val="00663B65"/>
    <w:rsid w:val="00664963"/>
    <w:rsid w:val="00674D9B"/>
    <w:rsid w:val="0068118E"/>
    <w:rsid w:val="006834CE"/>
    <w:rsid w:val="00687DAF"/>
    <w:rsid w:val="00691155"/>
    <w:rsid w:val="00691500"/>
    <w:rsid w:val="00694771"/>
    <w:rsid w:val="00695F3B"/>
    <w:rsid w:val="006A0689"/>
    <w:rsid w:val="006A084D"/>
    <w:rsid w:val="006A3DD3"/>
    <w:rsid w:val="006A5A9F"/>
    <w:rsid w:val="006B00EC"/>
    <w:rsid w:val="006B1BAA"/>
    <w:rsid w:val="006B3E20"/>
    <w:rsid w:val="006B4A0C"/>
    <w:rsid w:val="006B4F48"/>
    <w:rsid w:val="006B592B"/>
    <w:rsid w:val="006C0280"/>
    <w:rsid w:val="006C14EE"/>
    <w:rsid w:val="006C3160"/>
    <w:rsid w:val="006C4938"/>
    <w:rsid w:val="006D244C"/>
    <w:rsid w:val="006D25B4"/>
    <w:rsid w:val="006D5E7B"/>
    <w:rsid w:val="006D7F36"/>
    <w:rsid w:val="006E06A3"/>
    <w:rsid w:val="006E159B"/>
    <w:rsid w:val="006E1DCD"/>
    <w:rsid w:val="006E274D"/>
    <w:rsid w:val="006F166A"/>
    <w:rsid w:val="006F2300"/>
    <w:rsid w:val="006F5D2F"/>
    <w:rsid w:val="006F77A5"/>
    <w:rsid w:val="007009E6"/>
    <w:rsid w:val="0070412E"/>
    <w:rsid w:val="00706B0F"/>
    <w:rsid w:val="007070AF"/>
    <w:rsid w:val="007077C3"/>
    <w:rsid w:val="00707956"/>
    <w:rsid w:val="00707BAC"/>
    <w:rsid w:val="00713B49"/>
    <w:rsid w:val="00721F34"/>
    <w:rsid w:val="007244F1"/>
    <w:rsid w:val="007254B7"/>
    <w:rsid w:val="007256B4"/>
    <w:rsid w:val="00725EA8"/>
    <w:rsid w:val="00733CD6"/>
    <w:rsid w:val="00741F57"/>
    <w:rsid w:val="007477B0"/>
    <w:rsid w:val="00752554"/>
    <w:rsid w:val="00753BFB"/>
    <w:rsid w:val="007554FD"/>
    <w:rsid w:val="00757789"/>
    <w:rsid w:val="00757E61"/>
    <w:rsid w:val="00763E7F"/>
    <w:rsid w:val="00766B19"/>
    <w:rsid w:val="00773D2F"/>
    <w:rsid w:val="00774F6F"/>
    <w:rsid w:val="007816A2"/>
    <w:rsid w:val="00783107"/>
    <w:rsid w:val="00787532"/>
    <w:rsid w:val="0079056A"/>
    <w:rsid w:val="00791CE3"/>
    <w:rsid w:val="00792165"/>
    <w:rsid w:val="00795AC4"/>
    <w:rsid w:val="007A1A88"/>
    <w:rsid w:val="007A1C3F"/>
    <w:rsid w:val="007A305C"/>
    <w:rsid w:val="007A4163"/>
    <w:rsid w:val="007B0169"/>
    <w:rsid w:val="007B1B75"/>
    <w:rsid w:val="007B487C"/>
    <w:rsid w:val="007B605F"/>
    <w:rsid w:val="007B6FCF"/>
    <w:rsid w:val="007C1BB2"/>
    <w:rsid w:val="007C250B"/>
    <w:rsid w:val="007C40A9"/>
    <w:rsid w:val="007C4CA8"/>
    <w:rsid w:val="007C501E"/>
    <w:rsid w:val="007C6050"/>
    <w:rsid w:val="007C7B00"/>
    <w:rsid w:val="007D3C2D"/>
    <w:rsid w:val="007D7F6F"/>
    <w:rsid w:val="007E257A"/>
    <w:rsid w:val="007E62D2"/>
    <w:rsid w:val="007F53EB"/>
    <w:rsid w:val="007F5A2D"/>
    <w:rsid w:val="0080320A"/>
    <w:rsid w:val="00805A8B"/>
    <w:rsid w:val="008061DB"/>
    <w:rsid w:val="00816A2B"/>
    <w:rsid w:val="0082323B"/>
    <w:rsid w:val="008260DD"/>
    <w:rsid w:val="00830C2E"/>
    <w:rsid w:val="00832C54"/>
    <w:rsid w:val="00835AEA"/>
    <w:rsid w:val="0083720C"/>
    <w:rsid w:val="00840344"/>
    <w:rsid w:val="00843682"/>
    <w:rsid w:val="00843945"/>
    <w:rsid w:val="00850213"/>
    <w:rsid w:val="00854CDE"/>
    <w:rsid w:val="008561B0"/>
    <w:rsid w:val="00862D21"/>
    <w:rsid w:val="0087501E"/>
    <w:rsid w:val="00881ABF"/>
    <w:rsid w:val="00881B6A"/>
    <w:rsid w:val="00885E3A"/>
    <w:rsid w:val="008878CC"/>
    <w:rsid w:val="008A4C1E"/>
    <w:rsid w:val="008A54A4"/>
    <w:rsid w:val="008B3FFC"/>
    <w:rsid w:val="008B5B7D"/>
    <w:rsid w:val="008C1A14"/>
    <w:rsid w:val="008C3CA2"/>
    <w:rsid w:val="008C48DA"/>
    <w:rsid w:val="008D305A"/>
    <w:rsid w:val="008E1A41"/>
    <w:rsid w:val="008E2543"/>
    <w:rsid w:val="008E4057"/>
    <w:rsid w:val="008E4929"/>
    <w:rsid w:val="008E51C0"/>
    <w:rsid w:val="008E5530"/>
    <w:rsid w:val="008E725B"/>
    <w:rsid w:val="008F13B3"/>
    <w:rsid w:val="008F302B"/>
    <w:rsid w:val="008F3089"/>
    <w:rsid w:val="008F3EA8"/>
    <w:rsid w:val="008F5059"/>
    <w:rsid w:val="008F63B0"/>
    <w:rsid w:val="0090240B"/>
    <w:rsid w:val="0090385B"/>
    <w:rsid w:val="00906CD4"/>
    <w:rsid w:val="009108B0"/>
    <w:rsid w:val="00912B0E"/>
    <w:rsid w:val="00915AEB"/>
    <w:rsid w:val="00915ECD"/>
    <w:rsid w:val="00916F8E"/>
    <w:rsid w:val="00921764"/>
    <w:rsid w:val="00921957"/>
    <w:rsid w:val="0092542D"/>
    <w:rsid w:val="00932943"/>
    <w:rsid w:val="00934028"/>
    <w:rsid w:val="0093408A"/>
    <w:rsid w:val="00934DE1"/>
    <w:rsid w:val="0094130A"/>
    <w:rsid w:val="00943C8B"/>
    <w:rsid w:val="00954D53"/>
    <w:rsid w:val="00956109"/>
    <w:rsid w:val="0096054F"/>
    <w:rsid w:val="00962566"/>
    <w:rsid w:val="00964EE2"/>
    <w:rsid w:val="009673C2"/>
    <w:rsid w:val="00970373"/>
    <w:rsid w:val="009718D1"/>
    <w:rsid w:val="0097566C"/>
    <w:rsid w:val="00977122"/>
    <w:rsid w:val="0098447D"/>
    <w:rsid w:val="00991941"/>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D21B1"/>
    <w:rsid w:val="009D45BE"/>
    <w:rsid w:val="009D4FA1"/>
    <w:rsid w:val="009D51F8"/>
    <w:rsid w:val="009D6F57"/>
    <w:rsid w:val="009D7AE6"/>
    <w:rsid w:val="009E08C2"/>
    <w:rsid w:val="009E5228"/>
    <w:rsid w:val="009E54DA"/>
    <w:rsid w:val="009E60F6"/>
    <w:rsid w:val="009E6DAC"/>
    <w:rsid w:val="009F4D0F"/>
    <w:rsid w:val="00A01584"/>
    <w:rsid w:val="00A047B4"/>
    <w:rsid w:val="00A04F2A"/>
    <w:rsid w:val="00A10D42"/>
    <w:rsid w:val="00A116A0"/>
    <w:rsid w:val="00A11A45"/>
    <w:rsid w:val="00A167BE"/>
    <w:rsid w:val="00A17521"/>
    <w:rsid w:val="00A17D67"/>
    <w:rsid w:val="00A307F8"/>
    <w:rsid w:val="00A30923"/>
    <w:rsid w:val="00A315E3"/>
    <w:rsid w:val="00A34971"/>
    <w:rsid w:val="00A45C69"/>
    <w:rsid w:val="00A46198"/>
    <w:rsid w:val="00A47107"/>
    <w:rsid w:val="00A517EF"/>
    <w:rsid w:val="00A51DCB"/>
    <w:rsid w:val="00A52B8B"/>
    <w:rsid w:val="00A53D14"/>
    <w:rsid w:val="00A53F81"/>
    <w:rsid w:val="00A549C2"/>
    <w:rsid w:val="00A56496"/>
    <w:rsid w:val="00A6324D"/>
    <w:rsid w:val="00A770F1"/>
    <w:rsid w:val="00A812C2"/>
    <w:rsid w:val="00A8315B"/>
    <w:rsid w:val="00A857B5"/>
    <w:rsid w:val="00A87689"/>
    <w:rsid w:val="00A92091"/>
    <w:rsid w:val="00A93BFE"/>
    <w:rsid w:val="00A948A5"/>
    <w:rsid w:val="00AA32D4"/>
    <w:rsid w:val="00AA33EC"/>
    <w:rsid w:val="00AA3D9A"/>
    <w:rsid w:val="00AA4A5A"/>
    <w:rsid w:val="00AA57EC"/>
    <w:rsid w:val="00AA6C2D"/>
    <w:rsid w:val="00AB357F"/>
    <w:rsid w:val="00AB66DB"/>
    <w:rsid w:val="00AB6DDF"/>
    <w:rsid w:val="00AC0BF0"/>
    <w:rsid w:val="00AC2AA6"/>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4FB4"/>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74655"/>
    <w:rsid w:val="00B74ADF"/>
    <w:rsid w:val="00B7523E"/>
    <w:rsid w:val="00B753CF"/>
    <w:rsid w:val="00B7550F"/>
    <w:rsid w:val="00B76020"/>
    <w:rsid w:val="00B77567"/>
    <w:rsid w:val="00B81F12"/>
    <w:rsid w:val="00B86088"/>
    <w:rsid w:val="00B90EDB"/>
    <w:rsid w:val="00B9250E"/>
    <w:rsid w:val="00B94B0F"/>
    <w:rsid w:val="00BA3C61"/>
    <w:rsid w:val="00BA48D3"/>
    <w:rsid w:val="00BA4DF2"/>
    <w:rsid w:val="00BA7246"/>
    <w:rsid w:val="00BB0856"/>
    <w:rsid w:val="00BB140D"/>
    <w:rsid w:val="00BB2DCE"/>
    <w:rsid w:val="00BB43CE"/>
    <w:rsid w:val="00BB6921"/>
    <w:rsid w:val="00BC1273"/>
    <w:rsid w:val="00BC1419"/>
    <w:rsid w:val="00BC160C"/>
    <w:rsid w:val="00BE0EF3"/>
    <w:rsid w:val="00BE1BA1"/>
    <w:rsid w:val="00BE3C14"/>
    <w:rsid w:val="00BF2642"/>
    <w:rsid w:val="00BF2F7E"/>
    <w:rsid w:val="00BF3C2F"/>
    <w:rsid w:val="00BF4421"/>
    <w:rsid w:val="00C00824"/>
    <w:rsid w:val="00C008BA"/>
    <w:rsid w:val="00C01262"/>
    <w:rsid w:val="00C02544"/>
    <w:rsid w:val="00C03FE3"/>
    <w:rsid w:val="00C050BC"/>
    <w:rsid w:val="00C06D5E"/>
    <w:rsid w:val="00C07551"/>
    <w:rsid w:val="00C10C7E"/>
    <w:rsid w:val="00C1219E"/>
    <w:rsid w:val="00C21D61"/>
    <w:rsid w:val="00C2400B"/>
    <w:rsid w:val="00C240C2"/>
    <w:rsid w:val="00C26F39"/>
    <w:rsid w:val="00C32014"/>
    <w:rsid w:val="00C32114"/>
    <w:rsid w:val="00C32D04"/>
    <w:rsid w:val="00C33EEE"/>
    <w:rsid w:val="00C3557A"/>
    <w:rsid w:val="00C35C3E"/>
    <w:rsid w:val="00C45FFE"/>
    <w:rsid w:val="00C46A5D"/>
    <w:rsid w:val="00C51D0C"/>
    <w:rsid w:val="00C56833"/>
    <w:rsid w:val="00C56E53"/>
    <w:rsid w:val="00C60AC9"/>
    <w:rsid w:val="00C63314"/>
    <w:rsid w:val="00C72B89"/>
    <w:rsid w:val="00C74AEF"/>
    <w:rsid w:val="00C766A4"/>
    <w:rsid w:val="00C77F34"/>
    <w:rsid w:val="00C829AC"/>
    <w:rsid w:val="00C83458"/>
    <w:rsid w:val="00C83E56"/>
    <w:rsid w:val="00C87836"/>
    <w:rsid w:val="00C908CF"/>
    <w:rsid w:val="00C9521B"/>
    <w:rsid w:val="00CA134D"/>
    <w:rsid w:val="00CB171D"/>
    <w:rsid w:val="00CB6B45"/>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20034"/>
    <w:rsid w:val="00D210A7"/>
    <w:rsid w:val="00D22E26"/>
    <w:rsid w:val="00D2529E"/>
    <w:rsid w:val="00D3208D"/>
    <w:rsid w:val="00D33F43"/>
    <w:rsid w:val="00D35B3D"/>
    <w:rsid w:val="00D3699F"/>
    <w:rsid w:val="00D43454"/>
    <w:rsid w:val="00D43BEF"/>
    <w:rsid w:val="00D45657"/>
    <w:rsid w:val="00D5193D"/>
    <w:rsid w:val="00D52E46"/>
    <w:rsid w:val="00D53152"/>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B2F50"/>
    <w:rsid w:val="00DB6C32"/>
    <w:rsid w:val="00DC0E3F"/>
    <w:rsid w:val="00DC278D"/>
    <w:rsid w:val="00DC3625"/>
    <w:rsid w:val="00DC44B8"/>
    <w:rsid w:val="00DC5180"/>
    <w:rsid w:val="00DD34BB"/>
    <w:rsid w:val="00DE00E1"/>
    <w:rsid w:val="00DE018B"/>
    <w:rsid w:val="00DF46FA"/>
    <w:rsid w:val="00E00A95"/>
    <w:rsid w:val="00E033EA"/>
    <w:rsid w:val="00E04A0D"/>
    <w:rsid w:val="00E059B5"/>
    <w:rsid w:val="00E06FE9"/>
    <w:rsid w:val="00E074AF"/>
    <w:rsid w:val="00E07822"/>
    <w:rsid w:val="00E07880"/>
    <w:rsid w:val="00E166DD"/>
    <w:rsid w:val="00E175AA"/>
    <w:rsid w:val="00E2087E"/>
    <w:rsid w:val="00E20DAE"/>
    <w:rsid w:val="00E2428D"/>
    <w:rsid w:val="00E243E8"/>
    <w:rsid w:val="00E30BA1"/>
    <w:rsid w:val="00E319A8"/>
    <w:rsid w:val="00E31C62"/>
    <w:rsid w:val="00E32B32"/>
    <w:rsid w:val="00E33B8C"/>
    <w:rsid w:val="00E35269"/>
    <w:rsid w:val="00E35657"/>
    <w:rsid w:val="00E35FB3"/>
    <w:rsid w:val="00E3638E"/>
    <w:rsid w:val="00E4016E"/>
    <w:rsid w:val="00E4741C"/>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A77F9"/>
    <w:rsid w:val="00EB018E"/>
    <w:rsid w:val="00EB2720"/>
    <w:rsid w:val="00EB73E3"/>
    <w:rsid w:val="00EB750D"/>
    <w:rsid w:val="00EC56D8"/>
    <w:rsid w:val="00EC61AF"/>
    <w:rsid w:val="00ED414A"/>
    <w:rsid w:val="00ED5D70"/>
    <w:rsid w:val="00ED7B07"/>
    <w:rsid w:val="00EE4179"/>
    <w:rsid w:val="00EE45C2"/>
    <w:rsid w:val="00EE6D67"/>
    <w:rsid w:val="00EF1E99"/>
    <w:rsid w:val="00EF4A75"/>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4D73"/>
    <w:rsid w:val="00F51864"/>
    <w:rsid w:val="00F56263"/>
    <w:rsid w:val="00F56FF3"/>
    <w:rsid w:val="00F62A38"/>
    <w:rsid w:val="00F70A60"/>
    <w:rsid w:val="00F70BAE"/>
    <w:rsid w:val="00F72902"/>
    <w:rsid w:val="00F72967"/>
    <w:rsid w:val="00F74187"/>
    <w:rsid w:val="00F743EB"/>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12F1"/>
    <w:rsid w:val="00FB2922"/>
    <w:rsid w:val="00FB54CE"/>
    <w:rsid w:val="00FB7964"/>
    <w:rsid w:val="00FC3E6D"/>
    <w:rsid w:val="00FC5DDC"/>
    <w:rsid w:val="00FC7B97"/>
    <w:rsid w:val="00FD022D"/>
    <w:rsid w:val="00FD7C6A"/>
    <w:rsid w:val="00FE023B"/>
    <w:rsid w:val="00FE1B89"/>
    <w:rsid w:val="00FE2D1E"/>
    <w:rsid w:val="00FE2D98"/>
    <w:rsid w:val="00FE3315"/>
    <w:rsid w:val="00FE3E52"/>
    <w:rsid w:val="00FE61C1"/>
    <w:rsid w:val="00FE6B2C"/>
    <w:rsid w:val="00FE6F16"/>
    <w:rsid w:val="00FE7048"/>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US"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eastAsia="en-US"/>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Title">
    <w:name w:val="Title"/>
    <w:basedOn w:val="Normal"/>
    <w:next w:val="Normal"/>
    <w:link w:val="TitleChar"/>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TitleChar">
    <w:name w:val="Title Char"/>
    <w:link w:val="Title"/>
    <w:rsid w:val="00497F17"/>
    <w:rPr>
      <w:rFonts w:ascii="Courier New" w:eastAsia="Times New Roman" w:hAnsi="Courier New"/>
      <w:lang w:val="nb-NO"/>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5878F8"/>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72B89"/>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1256">
      <w:bodyDiv w:val="1"/>
      <w:marLeft w:val="0"/>
      <w:marRight w:val="0"/>
      <w:marTop w:val="0"/>
      <w:marBottom w:val="0"/>
      <w:divBdr>
        <w:top w:val="none" w:sz="0" w:space="0" w:color="auto"/>
        <w:left w:val="none" w:sz="0" w:space="0" w:color="auto"/>
        <w:bottom w:val="none" w:sz="0" w:space="0" w:color="auto"/>
        <w:right w:val="none" w:sz="0" w:space="0" w:color="auto"/>
      </w:divBdr>
      <w:divsChild>
        <w:div w:id="512761713">
          <w:marLeft w:val="360"/>
          <w:marRight w:val="0"/>
          <w:marTop w:val="200"/>
          <w:marBottom w:val="0"/>
          <w:divBdr>
            <w:top w:val="none" w:sz="0" w:space="0" w:color="auto"/>
            <w:left w:val="none" w:sz="0" w:space="0" w:color="auto"/>
            <w:bottom w:val="none" w:sz="0" w:space="0" w:color="auto"/>
            <w:right w:val="none" w:sz="0" w:space="0" w:color="auto"/>
          </w:divBdr>
        </w:div>
        <w:div w:id="648369054">
          <w:marLeft w:val="1080"/>
          <w:marRight w:val="0"/>
          <w:marTop w:val="100"/>
          <w:marBottom w:val="0"/>
          <w:divBdr>
            <w:top w:val="none" w:sz="0" w:space="0" w:color="auto"/>
            <w:left w:val="none" w:sz="0" w:space="0" w:color="auto"/>
            <w:bottom w:val="none" w:sz="0" w:space="0" w:color="auto"/>
            <w:right w:val="none" w:sz="0" w:space="0" w:color="auto"/>
          </w:divBdr>
        </w:div>
        <w:div w:id="1281498208">
          <w:marLeft w:val="1080"/>
          <w:marRight w:val="0"/>
          <w:marTop w:val="100"/>
          <w:marBottom w:val="0"/>
          <w:divBdr>
            <w:top w:val="none" w:sz="0" w:space="0" w:color="auto"/>
            <w:left w:val="none" w:sz="0" w:space="0" w:color="auto"/>
            <w:bottom w:val="none" w:sz="0" w:space="0" w:color="auto"/>
            <w:right w:val="none" w:sz="0" w:space="0" w:color="auto"/>
          </w:divBdr>
        </w:div>
        <w:div w:id="383598885">
          <w:marLeft w:val="1800"/>
          <w:marRight w:val="0"/>
          <w:marTop w:val="100"/>
          <w:marBottom w:val="0"/>
          <w:divBdr>
            <w:top w:val="none" w:sz="0" w:space="0" w:color="auto"/>
            <w:left w:val="none" w:sz="0" w:space="0" w:color="auto"/>
            <w:bottom w:val="none" w:sz="0" w:space="0" w:color="auto"/>
            <w:right w:val="none" w:sz="0" w:space="0" w:color="auto"/>
          </w:divBdr>
        </w:div>
        <w:div w:id="256328192">
          <w:marLeft w:val="1800"/>
          <w:marRight w:val="0"/>
          <w:marTop w:val="100"/>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870640">
      <w:bodyDiv w:val="1"/>
      <w:marLeft w:val="0"/>
      <w:marRight w:val="0"/>
      <w:marTop w:val="0"/>
      <w:marBottom w:val="0"/>
      <w:divBdr>
        <w:top w:val="none" w:sz="0" w:space="0" w:color="auto"/>
        <w:left w:val="none" w:sz="0" w:space="0" w:color="auto"/>
        <w:bottom w:val="none" w:sz="0" w:space="0" w:color="auto"/>
        <w:right w:val="none" w:sz="0" w:space="0" w:color="auto"/>
      </w:divBdr>
      <w:divsChild>
        <w:div w:id="44764065">
          <w:marLeft w:val="360"/>
          <w:marRight w:val="0"/>
          <w:marTop w:val="200"/>
          <w:marBottom w:val="0"/>
          <w:divBdr>
            <w:top w:val="none" w:sz="0" w:space="0" w:color="auto"/>
            <w:left w:val="none" w:sz="0" w:space="0" w:color="auto"/>
            <w:bottom w:val="none" w:sz="0" w:space="0" w:color="auto"/>
            <w:right w:val="none" w:sz="0" w:space="0" w:color="auto"/>
          </w:divBdr>
        </w:div>
        <w:div w:id="669060553">
          <w:marLeft w:val="1080"/>
          <w:marRight w:val="0"/>
          <w:marTop w:val="100"/>
          <w:marBottom w:val="0"/>
          <w:divBdr>
            <w:top w:val="none" w:sz="0" w:space="0" w:color="auto"/>
            <w:left w:val="none" w:sz="0" w:space="0" w:color="auto"/>
            <w:bottom w:val="none" w:sz="0" w:space="0" w:color="auto"/>
            <w:right w:val="none" w:sz="0" w:space="0" w:color="auto"/>
          </w:divBdr>
        </w:div>
        <w:div w:id="1454908261">
          <w:marLeft w:val="1080"/>
          <w:marRight w:val="0"/>
          <w:marTop w:val="100"/>
          <w:marBottom w:val="0"/>
          <w:divBdr>
            <w:top w:val="none" w:sz="0" w:space="0" w:color="auto"/>
            <w:left w:val="none" w:sz="0" w:space="0" w:color="auto"/>
            <w:bottom w:val="none" w:sz="0" w:space="0" w:color="auto"/>
            <w:right w:val="none" w:sz="0" w:space="0" w:color="auto"/>
          </w:divBdr>
        </w:div>
        <w:div w:id="1853228066">
          <w:marLeft w:val="1800"/>
          <w:marRight w:val="0"/>
          <w:marTop w:val="100"/>
          <w:marBottom w:val="0"/>
          <w:divBdr>
            <w:top w:val="none" w:sz="0" w:space="0" w:color="auto"/>
            <w:left w:val="none" w:sz="0" w:space="0" w:color="auto"/>
            <w:bottom w:val="none" w:sz="0" w:space="0" w:color="auto"/>
            <w:right w:val="none" w:sz="0" w:space="0" w:color="auto"/>
          </w:divBdr>
        </w:div>
        <w:div w:id="855536910">
          <w:marLeft w:val="1800"/>
          <w:marRight w:val="0"/>
          <w:marTop w:val="1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FF80-C1F4-440E-8CE9-7E2AE503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2728</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CR0125r1</cp:lastModifiedBy>
  <cp:revision>83</cp:revision>
  <dcterms:created xsi:type="dcterms:W3CDTF">2019-10-30T23:20:00Z</dcterms:created>
  <dcterms:modified xsi:type="dcterms:W3CDTF">2020-04-14T17:28:00Z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